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046" w:rsidRDefault="00A569F3" w:rsidP="00D03046">
      <w:pPr>
        <w:jc w:val="center"/>
        <w:rPr>
          <w:b/>
          <w:caps/>
          <w:color w:val="000080"/>
          <w:sz w:val="30"/>
          <w:szCs w:val="32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15.6pt;width:49.15pt;height:60.75pt;z-index:251658240">
            <v:imagedata r:id="rId4" o:title=""/>
          </v:shape>
          <o:OLEObject Type="Embed" ProgID="MSPhotoEd.3" ShapeID="_x0000_s1026" DrawAspect="Content" ObjectID="_1508219128" r:id="rId5"/>
        </w:object>
      </w:r>
    </w:p>
    <w:p w:rsidR="00D03046" w:rsidRDefault="00D03046" w:rsidP="00D03046">
      <w:pPr>
        <w:rPr>
          <w:b/>
          <w:caps/>
          <w:color w:val="000080"/>
          <w:sz w:val="30"/>
          <w:szCs w:val="32"/>
        </w:rPr>
      </w:pPr>
    </w:p>
    <w:p w:rsidR="00A569F3" w:rsidRDefault="00A569F3" w:rsidP="00D03046">
      <w:pPr>
        <w:jc w:val="center"/>
        <w:rPr>
          <w:b/>
          <w:caps/>
          <w:color w:val="000080"/>
          <w:sz w:val="30"/>
          <w:szCs w:val="32"/>
        </w:rPr>
      </w:pPr>
    </w:p>
    <w:p w:rsidR="00A569F3" w:rsidRDefault="00A569F3" w:rsidP="00D03046">
      <w:pPr>
        <w:jc w:val="center"/>
        <w:rPr>
          <w:b/>
          <w:caps/>
          <w:color w:val="000080"/>
          <w:sz w:val="30"/>
          <w:szCs w:val="32"/>
        </w:rPr>
      </w:pPr>
    </w:p>
    <w:p w:rsidR="00A569F3" w:rsidRDefault="00A569F3" w:rsidP="00D03046">
      <w:pPr>
        <w:jc w:val="center"/>
        <w:rPr>
          <w:b/>
          <w:caps/>
          <w:color w:val="000080"/>
          <w:sz w:val="30"/>
          <w:szCs w:val="32"/>
        </w:rPr>
      </w:pPr>
    </w:p>
    <w:p w:rsidR="00A569F3" w:rsidRDefault="00D03046" w:rsidP="00D03046">
      <w:pPr>
        <w:jc w:val="center"/>
        <w:rPr>
          <w:b/>
          <w:caps/>
          <w:color w:val="000080"/>
          <w:sz w:val="30"/>
          <w:szCs w:val="32"/>
        </w:rPr>
      </w:pPr>
      <w:r>
        <w:rPr>
          <w:b/>
          <w:caps/>
          <w:color w:val="000080"/>
          <w:sz w:val="30"/>
          <w:szCs w:val="32"/>
        </w:rPr>
        <w:t>ПРИКАЗ</w:t>
      </w:r>
      <w:bookmarkStart w:id="0" w:name="_GoBack"/>
      <w:bookmarkEnd w:id="0"/>
    </w:p>
    <w:p w:rsidR="00D03046" w:rsidRDefault="00D03046" w:rsidP="00D03046">
      <w:pPr>
        <w:jc w:val="center"/>
        <w:rPr>
          <w:b/>
          <w:caps/>
          <w:color w:val="000080"/>
          <w:sz w:val="16"/>
          <w:szCs w:val="16"/>
        </w:rPr>
      </w:pPr>
    </w:p>
    <w:p w:rsidR="00D03046" w:rsidRDefault="00D03046" w:rsidP="00D03046">
      <w:pPr>
        <w:jc w:val="center"/>
        <w:rPr>
          <w:b/>
          <w:caps/>
          <w:color w:val="000080"/>
          <w:sz w:val="28"/>
          <w:szCs w:val="32"/>
        </w:rPr>
      </w:pPr>
      <w:r>
        <w:rPr>
          <w:b/>
          <w:caps/>
          <w:color w:val="000080"/>
          <w:sz w:val="28"/>
          <w:szCs w:val="32"/>
        </w:rPr>
        <w:t>КомитетА финансов</w:t>
      </w:r>
    </w:p>
    <w:p w:rsidR="00D03046" w:rsidRDefault="00D03046" w:rsidP="00D03046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Администрации города Когалыма </w:t>
      </w:r>
    </w:p>
    <w:p w:rsidR="00D03046" w:rsidRDefault="00D03046" w:rsidP="00D03046">
      <w:pPr>
        <w:jc w:val="center"/>
        <w:rPr>
          <w:b/>
          <w:color w:val="000080"/>
          <w:sz w:val="28"/>
          <w:szCs w:val="28"/>
        </w:rPr>
      </w:pPr>
    </w:p>
    <w:p w:rsidR="00D03046" w:rsidRDefault="00D03046" w:rsidP="00D03046">
      <w:pPr>
        <w:jc w:val="center"/>
        <w:rPr>
          <w:b/>
          <w:color w:val="000080"/>
          <w:sz w:val="28"/>
          <w:szCs w:val="28"/>
        </w:rPr>
      </w:pPr>
    </w:p>
    <w:p w:rsidR="00D03046" w:rsidRDefault="00D03046" w:rsidP="00D03046">
      <w:pPr>
        <w:jc w:val="center"/>
        <w:rPr>
          <w:b/>
          <w:color w:val="000080"/>
          <w:sz w:val="28"/>
          <w:szCs w:val="28"/>
        </w:rPr>
      </w:pPr>
    </w:p>
    <w:p w:rsidR="00D03046" w:rsidRDefault="00D03046" w:rsidP="00D03046">
      <w:pPr>
        <w:jc w:val="center"/>
        <w:rPr>
          <w:b/>
          <w:color w:val="000080"/>
          <w:sz w:val="28"/>
          <w:szCs w:val="28"/>
        </w:rPr>
      </w:pPr>
    </w:p>
    <w:p w:rsidR="00D03046" w:rsidRDefault="00D03046" w:rsidP="00D03046">
      <w:pPr>
        <w:jc w:val="center"/>
        <w:rPr>
          <w:b/>
          <w:color w:val="000080"/>
          <w:sz w:val="28"/>
          <w:szCs w:val="28"/>
        </w:rPr>
      </w:pPr>
    </w:p>
    <w:p w:rsidR="00D03046" w:rsidRDefault="004F238A" w:rsidP="00D03046">
      <w:pPr>
        <w:ind w:right="-18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«30» </w:t>
      </w:r>
      <w:proofErr w:type="gramStart"/>
      <w:r>
        <w:rPr>
          <w:color w:val="000000"/>
          <w:sz w:val="28"/>
          <w:szCs w:val="28"/>
        </w:rPr>
        <w:t xml:space="preserve">октября </w:t>
      </w:r>
      <w:r w:rsidR="00D03046">
        <w:rPr>
          <w:color w:val="000000"/>
          <w:sz w:val="28"/>
          <w:szCs w:val="28"/>
        </w:rPr>
        <w:t xml:space="preserve"> 2015</w:t>
      </w:r>
      <w:proofErr w:type="gramEnd"/>
      <w:r w:rsidR="00D03046">
        <w:rPr>
          <w:color w:val="000000"/>
          <w:sz w:val="28"/>
          <w:szCs w:val="28"/>
        </w:rPr>
        <w:t xml:space="preserve"> г.                    </w:t>
      </w:r>
      <w:r>
        <w:rPr>
          <w:color w:val="000000"/>
          <w:sz w:val="28"/>
          <w:szCs w:val="28"/>
        </w:rPr>
        <w:t xml:space="preserve">                        </w:t>
      </w:r>
      <w:r w:rsidR="00D03046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                         №76-О</w:t>
      </w:r>
    </w:p>
    <w:p w:rsidR="00D03046" w:rsidRDefault="00D03046" w:rsidP="00D03046">
      <w:pPr>
        <w:ind w:right="-181"/>
        <w:rPr>
          <w:sz w:val="28"/>
          <w:szCs w:val="28"/>
        </w:rPr>
      </w:pPr>
    </w:p>
    <w:p w:rsidR="00D03046" w:rsidRDefault="00D03046" w:rsidP="00BB755D">
      <w:pPr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BB755D">
        <w:rPr>
          <w:sz w:val="26"/>
          <w:szCs w:val="26"/>
        </w:rPr>
        <w:t xml:space="preserve">внесении изменений в приказ </w:t>
      </w:r>
    </w:p>
    <w:p w:rsidR="00BB755D" w:rsidRDefault="00171376" w:rsidP="00BB755D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BB755D">
        <w:rPr>
          <w:sz w:val="26"/>
          <w:szCs w:val="26"/>
        </w:rPr>
        <w:t>т 31.03. 2015 №20-О</w:t>
      </w:r>
    </w:p>
    <w:p w:rsidR="00D03046" w:rsidRDefault="00D03046">
      <w:pPr>
        <w:rPr>
          <w:sz w:val="26"/>
          <w:szCs w:val="26"/>
        </w:rPr>
      </w:pPr>
    </w:p>
    <w:p w:rsidR="00D03046" w:rsidRDefault="00D03046">
      <w:pPr>
        <w:rPr>
          <w:sz w:val="26"/>
          <w:szCs w:val="26"/>
        </w:rPr>
      </w:pPr>
    </w:p>
    <w:p w:rsidR="00D03046" w:rsidRDefault="00D03046">
      <w:pPr>
        <w:rPr>
          <w:sz w:val="26"/>
          <w:szCs w:val="26"/>
        </w:rPr>
      </w:pPr>
    </w:p>
    <w:p w:rsidR="00834C60" w:rsidRDefault="00834C60" w:rsidP="00D27AB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BB755D">
        <w:rPr>
          <w:sz w:val="26"/>
          <w:szCs w:val="26"/>
        </w:rPr>
        <w:t xml:space="preserve">В соответствии с приказами Министерства финансов Российской Федерации от 19 декабря 2014 года  № 157н «О внесении изменений в приказ Министерства финансов Российской Федерации от 28 декабря 2010 года                         № 191н «Об утверждении Инструкции о порядке составления и представления годовой, </w:t>
      </w:r>
      <w:r w:rsidRPr="004C6B3A">
        <w:rPr>
          <w:spacing w:val="8"/>
          <w:sz w:val="26"/>
          <w:szCs w:val="26"/>
        </w:rPr>
        <w:t>квартальной и месячной отчетности об исполнении бюджетов бюджетной системы Российской Федерации</w:t>
      </w:r>
      <w:r w:rsidR="00BB755D">
        <w:rPr>
          <w:spacing w:val="8"/>
          <w:sz w:val="26"/>
          <w:szCs w:val="26"/>
        </w:rPr>
        <w:t>», от 26 августа 2015 года № 135н</w:t>
      </w:r>
      <w:r>
        <w:rPr>
          <w:spacing w:val="6"/>
          <w:sz w:val="26"/>
          <w:szCs w:val="26"/>
        </w:rPr>
        <w:t xml:space="preserve"> </w:t>
      </w:r>
      <w:r w:rsidR="00BB755D">
        <w:rPr>
          <w:spacing w:val="6"/>
          <w:sz w:val="26"/>
          <w:szCs w:val="26"/>
        </w:rPr>
        <w:t xml:space="preserve">«О внесении изменений в </w:t>
      </w:r>
      <w:r w:rsidR="00BB755D">
        <w:rPr>
          <w:sz w:val="26"/>
          <w:szCs w:val="26"/>
        </w:rPr>
        <w:t>Инструкцию</w:t>
      </w:r>
      <w:r w:rsidRPr="004C6B3A">
        <w:rPr>
          <w:spacing w:val="8"/>
          <w:sz w:val="26"/>
          <w:szCs w:val="26"/>
        </w:rPr>
        <w:t xml:space="preserve"> о порядке составления и представления годовой, квартальной</w:t>
      </w:r>
      <w:r w:rsidR="00BB755D">
        <w:rPr>
          <w:spacing w:val="8"/>
          <w:sz w:val="26"/>
          <w:szCs w:val="26"/>
        </w:rPr>
        <w:t xml:space="preserve"> и месячной отчетности об исполнении бюджетов бюджетной системы</w:t>
      </w:r>
      <w:r w:rsidR="00BB755D" w:rsidRPr="00BB755D">
        <w:rPr>
          <w:spacing w:val="8"/>
          <w:sz w:val="26"/>
          <w:szCs w:val="26"/>
        </w:rPr>
        <w:t xml:space="preserve"> </w:t>
      </w:r>
      <w:r w:rsidR="00BB755D" w:rsidRPr="004C6B3A">
        <w:rPr>
          <w:spacing w:val="8"/>
          <w:sz w:val="26"/>
          <w:szCs w:val="26"/>
        </w:rPr>
        <w:t>Российской Федерации</w:t>
      </w:r>
      <w:r w:rsidR="00BB755D">
        <w:rPr>
          <w:spacing w:val="8"/>
          <w:sz w:val="26"/>
          <w:szCs w:val="26"/>
        </w:rPr>
        <w:t xml:space="preserve">, утвержденную приказом  </w:t>
      </w:r>
      <w:r w:rsidRPr="004C6B3A">
        <w:rPr>
          <w:spacing w:val="8"/>
          <w:sz w:val="26"/>
          <w:szCs w:val="26"/>
        </w:rPr>
        <w:t xml:space="preserve"> </w:t>
      </w:r>
      <w:r w:rsidR="00BB755D">
        <w:rPr>
          <w:sz w:val="26"/>
          <w:szCs w:val="26"/>
        </w:rPr>
        <w:t>Министерства финансов Российской Федерации от 28 декабря 2010 года                         № 191н», от 29 декабря 2014 года № 172н</w:t>
      </w:r>
      <w:r w:rsidR="00C37510">
        <w:rPr>
          <w:sz w:val="26"/>
          <w:szCs w:val="26"/>
        </w:rPr>
        <w:t xml:space="preserve"> «О внесении изменений в Инструкцию о порядке составления и представления годовой, квартальной </w:t>
      </w:r>
      <w:r w:rsidR="00BB755D">
        <w:rPr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 xml:space="preserve">бухгалтерской </w:t>
      </w:r>
      <w:r w:rsidRPr="004C6B3A">
        <w:rPr>
          <w:spacing w:val="8"/>
          <w:sz w:val="26"/>
          <w:szCs w:val="26"/>
        </w:rPr>
        <w:t>отчетности</w:t>
      </w:r>
      <w:r w:rsidRPr="004C6B3A">
        <w:rPr>
          <w:spacing w:val="6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государственных (муниципальных) бюджетных и автономных учреждений</w:t>
      </w:r>
      <w:r w:rsidR="00C37510">
        <w:rPr>
          <w:spacing w:val="6"/>
          <w:sz w:val="26"/>
          <w:szCs w:val="26"/>
        </w:rPr>
        <w:t xml:space="preserve">, </w:t>
      </w:r>
      <w:r>
        <w:rPr>
          <w:spacing w:val="6"/>
          <w:sz w:val="26"/>
          <w:szCs w:val="26"/>
        </w:rPr>
        <w:t xml:space="preserve"> </w:t>
      </w:r>
      <w:r w:rsidR="00C37510">
        <w:rPr>
          <w:spacing w:val="8"/>
          <w:sz w:val="26"/>
          <w:szCs w:val="26"/>
        </w:rPr>
        <w:t>утвержденную</w:t>
      </w:r>
      <w:r w:rsidRPr="004C6B3A">
        <w:rPr>
          <w:spacing w:val="8"/>
          <w:sz w:val="26"/>
          <w:szCs w:val="26"/>
        </w:rPr>
        <w:t xml:space="preserve"> приказом </w:t>
      </w:r>
      <w:r w:rsidRPr="004C6B3A">
        <w:rPr>
          <w:spacing w:val="6"/>
          <w:sz w:val="26"/>
          <w:szCs w:val="26"/>
        </w:rPr>
        <w:t>Министерства фин</w:t>
      </w:r>
      <w:r>
        <w:rPr>
          <w:spacing w:val="6"/>
          <w:sz w:val="26"/>
          <w:szCs w:val="26"/>
        </w:rPr>
        <w:t>ансов Российской Федер</w:t>
      </w:r>
      <w:r w:rsidR="00C37510">
        <w:rPr>
          <w:spacing w:val="6"/>
          <w:sz w:val="26"/>
          <w:szCs w:val="26"/>
        </w:rPr>
        <w:t>ации от 25 марта 2011 года № 33</w:t>
      </w:r>
      <w:r>
        <w:rPr>
          <w:spacing w:val="6"/>
          <w:sz w:val="26"/>
          <w:szCs w:val="26"/>
        </w:rPr>
        <w:t>н</w:t>
      </w:r>
      <w:r w:rsidR="00C37510">
        <w:rPr>
          <w:spacing w:val="6"/>
          <w:sz w:val="26"/>
          <w:szCs w:val="26"/>
        </w:rPr>
        <w:t>»</w:t>
      </w:r>
      <w:r>
        <w:rPr>
          <w:spacing w:val="6"/>
          <w:sz w:val="26"/>
          <w:szCs w:val="26"/>
        </w:rPr>
        <w:t xml:space="preserve">, </w:t>
      </w:r>
      <w:r>
        <w:rPr>
          <w:sz w:val="26"/>
          <w:szCs w:val="26"/>
        </w:rPr>
        <w:t xml:space="preserve">приказом Департамента финансов Ханты – Мансийского автономного округа – Югры </w:t>
      </w:r>
      <w:r w:rsidR="00C37510">
        <w:rPr>
          <w:sz w:val="26"/>
          <w:szCs w:val="26"/>
        </w:rPr>
        <w:t>от 30 сентября 2015</w:t>
      </w:r>
      <w:r w:rsidRPr="00686695">
        <w:rPr>
          <w:sz w:val="26"/>
          <w:szCs w:val="26"/>
        </w:rPr>
        <w:t xml:space="preserve"> года</w:t>
      </w:r>
      <w:r w:rsidR="00C37510">
        <w:rPr>
          <w:sz w:val="26"/>
          <w:szCs w:val="26"/>
        </w:rPr>
        <w:t xml:space="preserve">                </w:t>
      </w:r>
      <w:r w:rsidRPr="00686695">
        <w:rPr>
          <w:sz w:val="26"/>
          <w:szCs w:val="26"/>
        </w:rPr>
        <w:t xml:space="preserve">№ </w:t>
      </w:r>
      <w:r w:rsidR="00C37510">
        <w:rPr>
          <w:sz w:val="26"/>
          <w:szCs w:val="26"/>
        </w:rPr>
        <w:t>2</w:t>
      </w:r>
      <w:r w:rsidRPr="00686695">
        <w:rPr>
          <w:sz w:val="26"/>
          <w:szCs w:val="26"/>
        </w:rPr>
        <w:t>2</w:t>
      </w:r>
      <w:r>
        <w:rPr>
          <w:sz w:val="26"/>
          <w:szCs w:val="26"/>
        </w:rPr>
        <w:t xml:space="preserve">-нп «О </w:t>
      </w:r>
      <w:r w:rsidR="00C37510">
        <w:rPr>
          <w:sz w:val="26"/>
          <w:szCs w:val="26"/>
        </w:rPr>
        <w:t xml:space="preserve">внесении изменений в приказ Департамента финансов Ханты – Мансийского автономного округа – Югры от 22 января 2014 года № 2-нп «О </w:t>
      </w:r>
      <w:r>
        <w:rPr>
          <w:sz w:val="26"/>
          <w:szCs w:val="26"/>
        </w:rPr>
        <w:t>порядке составления и представления бюджетно</w:t>
      </w:r>
      <w:r w:rsidR="00C37510">
        <w:rPr>
          <w:sz w:val="26"/>
          <w:szCs w:val="26"/>
        </w:rPr>
        <w:t>й и бухгалтерской отчетностей»,</w:t>
      </w:r>
    </w:p>
    <w:p w:rsidR="00834C60" w:rsidRDefault="00834C60" w:rsidP="00834C60">
      <w:pPr>
        <w:ind w:firstLine="708"/>
        <w:jc w:val="both"/>
        <w:rPr>
          <w:sz w:val="26"/>
          <w:szCs w:val="26"/>
        </w:rPr>
      </w:pPr>
    </w:p>
    <w:p w:rsidR="00834C60" w:rsidRDefault="00834C60" w:rsidP="00834C6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:rsidR="00834C60" w:rsidRDefault="00834C60" w:rsidP="00834C60">
      <w:pPr>
        <w:ind w:firstLine="708"/>
        <w:jc w:val="both"/>
        <w:rPr>
          <w:sz w:val="26"/>
          <w:szCs w:val="26"/>
        </w:rPr>
      </w:pPr>
    </w:p>
    <w:p w:rsidR="00C37510" w:rsidRDefault="00C37510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 Внести в приказ Комитета финансов Администрации города Ког</w:t>
      </w:r>
      <w:r w:rsidR="00C95D14">
        <w:rPr>
          <w:sz w:val="26"/>
          <w:szCs w:val="26"/>
        </w:rPr>
        <w:t xml:space="preserve">алыма от 31 марта 2015 года № 20-О «О </w:t>
      </w:r>
      <w:r>
        <w:rPr>
          <w:sz w:val="26"/>
          <w:szCs w:val="26"/>
        </w:rPr>
        <w:t>поряд</w:t>
      </w:r>
      <w:r w:rsidR="00834C60" w:rsidRPr="004C6B3A">
        <w:rPr>
          <w:sz w:val="26"/>
          <w:szCs w:val="26"/>
        </w:rPr>
        <w:t>к</w:t>
      </w:r>
      <w:r>
        <w:rPr>
          <w:sz w:val="26"/>
          <w:szCs w:val="26"/>
        </w:rPr>
        <w:t>е</w:t>
      </w:r>
      <w:r w:rsidR="00834C60" w:rsidRPr="004C6B3A">
        <w:rPr>
          <w:sz w:val="26"/>
          <w:szCs w:val="26"/>
        </w:rPr>
        <w:t xml:space="preserve"> составления </w:t>
      </w:r>
      <w:r w:rsidR="00834C60">
        <w:rPr>
          <w:sz w:val="26"/>
          <w:szCs w:val="26"/>
        </w:rPr>
        <w:t xml:space="preserve">и представления </w:t>
      </w:r>
      <w:r w:rsidR="00834C60" w:rsidRPr="004C6B3A">
        <w:rPr>
          <w:sz w:val="26"/>
          <w:szCs w:val="26"/>
        </w:rPr>
        <w:t xml:space="preserve">бюджетной </w:t>
      </w:r>
      <w:r>
        <w:rPr>
          <w:sz w:val="26"/>
          <w:szCs w:val="26"/>
        </w:rPr>
        <w:t>и бухгалтерской отчетностей» следующие изменения:</w:t>
      </w:r>
    </w:p>
    <w:p w:rsidR="00C95D14" w:rsidRDefault="00C95D14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1.1. В приложении к приказу: В наименовании после слов «</w:t>
      </w:r>
      <w:r w:rsidR="00826634">
        <w:rPr>
          <w:sz w:val="26"/>
          <w:szCs w:val="26"/>
        </w:rPr>
        <w:t>б</w:t>
      </w:r>
      <w:r>
        <w:rPr>
          <w:sz w:val="26"/>
          <w:szCs w:val="26"/>
        </w:rPr>
        <w:t xml:space="preserve">ухгалтерской отчетности» дополнить словами «государственных (муниципальных)». </w:t>
      </w:r>
    </w:p>
    <w:p w:rsidR="00826634" w:rsidRDefault="00826634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</w:t>
      </w:r>
      <w:r w:rsidR="00BA7AE6">
        <w:rPr>
          <w:sz w:val="26"/>
          <w:szCs w:val="26"/>
        </w:rPr>
        <w:t>1.</w:t>
      </w:r>
      <w:r>
        <w:rPr>
          <w:sz w:val="26"/>
          <w:szCs w:val="26"/>
        </w:rPr>
        <w:t>2. В абзаце первом пункта 8 после слов «дата принятия финансовой» дополнить словами «квартальной и годовой».</w:t>
      </w:r>
    </w:p>
    <w:p w:rsidR="00826634" w:rsidRDefault="00826634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1.1.3. </w:t>
      </w:r>
      <w:r w:rsidR="00C230FA">
        <w:rPr>
          <w:sz w:val="26"/>
          <w:szCs w:val="26"/>
        </w:rPr>
        <w:t>Абзац второй, подпункта 9.1. изложить в следующей редакции: «Сведения по дебиторской и кредиторской задолженности согласно приложению 1 к настоящему Порядку».</w:t>
      </w:r>
    </w:p>
    <w:p w:rsidR="00B90A06" w:rsidRDefault="00B90A06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1.1.4. В подпункте 11.1. пункта 11, абзац 11 исключить; </w:t>
      </w:r>
    </w:p>
    <w:p w:rsidR="00B90A06" w:rsidRDefault="00B90A06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t>дополнить абзацем следующего содержания:</w:t>
      </w:r>
    </w:p>
    <w:p w:rsidR="00B90A06" w:rsidRDefault="00B90A06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t>«Сведения об исполнении судебных решений по денежным обязательствам бюджета (ф. 0503296)».</w:t>
      </w:r>
    </w:p>
    <w:p w:rsidR="00B90A06" w:rsidRDefault="007668BC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1.1.5. </w:t>
      </w:r>
      <w:r w:rsidR="00B90A06">
        <w:rPr>
          <w:sz w:val="26"/>
          <w:szCs w:val="26"/>
        </w:rPr>
        <w:t>В подпункте 12.1. пункта 12</w:t>
      </w:r>
      <w:r w:rsidR="004E7B33">
        <w:rPr>
          <w:sz w:val="26"/>
          <w:szCs w:val="26"/>
        </w:rPr>
        <w:t>, абзац десятый исключить.</w:t>
      </w:r>
    </w:p>
    <w:p w:rsidR="007668BC" w:rsidRDefault="004E7B33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1.1.6. </w:t>
      </w:r>
      <w:r w:rsidR="007668BC">
        <w:rPr>
          <w:sz w:val="26"/>
          <w:szCs w:val="26"/>
        </w:rPr>
        <w:t>В п</w:t>
      </w:r>
      <w:r>
        <w:rPr>
          <w:sz w:val="26"/>
          <w:szCs w:val="26"/>
        </w:rPr>
        <w:t>ункт</w:t>
      </w:r>
      <w:r w:rsidR="007668BC">
        <w:rPr>
          <w:sz w:val="26"/>
          <w:szCs w:val="26"/>
        </w:rPr>
        <w:t>е 16, абзац четвертый исключить.</w:t>
      </w:r>
    </w:p>
    <w:p w:rsidR="00C230FA" w:rsidRDefault="00147756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1.1.7. П</w:t>
      </w:r>
      <w:r w:rsidR="007668BC">
        <w:rPr>
          <w:sz w:val="26"/>
          <w:szCs w:val="26"/>
        </w:rPr>
        <w:t>рил</w:t>
      </w:r>
      <w:r>
        <w:rPr>
          <w:sz w:val="26"/>
          <w:szCs w:val="26"/>
        </w:rPr>
        <w:t>ожение 2 к Порядку составления и представления бюджетной отчетности об исполнении бюджета города Когалыма главными распорядителями средств бюджета города Когалыма, главными администраторами доходов бюджета города Когалыма</w:t>
      </w:r>
      <w:r w:rsidR="00367FD6">
        <w:rPr>
          <w:sz w:val="26"/>
          <w:szCs w:val="26"/>
        </w:rPr>
        <w:t>,</w:t>
      </w:r>
      <w:r w:rsidR="00C230FA">
        <w:rPr>
          <w:sz w:val="26"/>
          <w:szCs w:val="26"/>
        </w:rPr>
        <w:t xml:space="preserve"> </w:t>
      </w:r>
      <w:r>
        <w:rPr>
          <w:sz w:val="26"/>
          <w:szCs w:val="26"/>
        </w:rPr>
        <w:t>главными</w:t>
      </w:r>
      <w:r w:rsidRPr="004C6B3A">
        <w:rPr>
          <w:sz w:val="26"/>
          <w:szCs w:val="26"/>
        </w:rPr>
        <w:t xml:space="preserve"> адми</w:t>
      </w:r>
      <w:r>
        <w:rPr>
          <w:sz w:val="26"/>
          <w:szCs w:val="26"/>
        </w:rPr>
        <w:t>нистраторами</w:t>
      </w:r>
      <w:r w:rsidRPr="004C6B3A">
        <w:rPr>
          <w:sz w:val="26"/>
          <w:szCs w:val="26"/>
        </w:rPr>
        <w:t xml:space="preserve"> источников финансирования дефицита бюджета</w:t>
      </w:r>
      <w:r>
        <w:rPr>
          <w:sz w:val="26"/>
          <w:szCs w:val="26"/>
        </w:rPr>
        <w:t xml:space="preserve"> города Когалыма</w:t>
      </w:r>
      <w:r w:rsidR="00C230FA">
        <w:rPr>
          <w:sz w:val="26"/>
          <w:szCs w:val="26"/>
        </w:rPr>
        <w:t xml:space="preserve">  </w:t>
      </w:r>
      <w:r>
        <w:rPr>
          <w:sz w:val="26"/>
          <w:szCs w:val="26"/>
        </w:rPr>
        <w:t>и сводной бухгалтерской отчетности  бюджетных и автономных учреждений главными распорядителями</w:t>
      </w:r>
      <w:r w:rsidR="00C230FA">
        <w:rPr>
          <w:sz w:val="26"/>
          <w:szCs w:val="26"/>
        </w:rPr>
        <w:t xml:space="preserve">  </w:t>
      </w:r>
      <w:r>
        <w:rPr>
          <w:sz w:val="26"/>
          <w:szCs w:val="26"/>
        </w:rPr>
        <w:t>средств бюджета  города Когалыма, осуществляющими функции и полномочия  учредителя в отношении муниципальных бюджетных и автономных учреждений признать утратившими силу.</w:t>
      </w:r>
    </w:p>
    <w:p w:rsidR="002E5D72" w:rsidRDefault="002E5D72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718C2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Настоящий приказ применяется при составлении бюджетной и бухгалтерской отчетности. </w:t>
      </w:r>
    </w:p>
    <w:p w:rsidR="00C718C2" w:rsidRDefault="00C718C2" w:rsidP="00834C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3.  Приказ Комитета финансов Администрации города Когалыма от 20.05.2015 №35-О «О внесении изменений в приказ от 31.03.2015 №20-О» считать утратившим силу.</w:t>
      </w:r>
    </w:p>
    <w:p w:rsidR="00834C60" w:rsidRDefault="00834C60" w:rsidP="00147756">
      <w:pPr>
        <w:jc w:val="both"/>
        <w:rPr>
          <w:sz w:val="26"/>
          <w:szCs w:val="26"/>
        </w:rPr>
      </w:pPr>
      <w:r w:rsidRPr="004C6B3A">
        <w:rPr>
          <w:sz w:val="26"/>
          <w:szCs w:val="26"/>
        </w:rPr>
        <w:t xml:space="preserve"> </w:t>
      </w:r>
      <w:r w:rsidR="00147756">
        <w:rPr>
          <w:sz w:val="26"/>
          <w:szCs w:val="26"/>
        </w:rPr>
        <w:t xml:space="preserve">          </w:t>
      </w:r>
      <w:r w:rsidR="00C718C2">
        <w:rPr>
          <w:sz w:val="26"/>
          <w:szCs w:val="26"/>
        </w:rPr>
        <w:t>4</w:t>
      </w:r>
      <w:r w:rsidRPr="004C6B3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Отделу сводной отчетности Комитета финансов Администрации города Когалыма </w:t>
      </w:r>
      <w:r w:rsidRPr="004C6B3A">
        <w:rPr>
          <w:sz w:val="26"/>
          <w:szCs w:val="26"/>
        </w:rPr>
        <w:t xml:space="preserve">довести настоящий приказ до </w:t>
      </w:r>
      <w:r>
        <w:rPr>
          <w:sz w:val="26"/>
          <w:szCs w:val="26"/>
        </w:rPr>
        <w:t xml:space="preserve">главных распорядителей средств </w:t>
      </w:r>
      <w:proofErr w:type="gramStart"/>
      <w:r>
        <w:rPr>
          <w:sz w:val="26"/>
          <w:szCs w:val="26"/>
        </w:rPr>
        <w:t>бюджета  города</w:t>
      </w:r>
      <w:proofErr w:type="gramEnd"/>
      <w:r>
        <w:rPr>
          <w:sz w:val="26"/>
          <w:szCs w:val="26"/>
        </w:rPr>
        <w:t xml:space="preserve"> Когалыма</w:t>
      </w:r>
      <w:r w:rsidRPr="004C6B3A">
        <w:rPr>
          <w:sz w:val="26"/>
          <w:szCs w:val="26"/>
        </w:rPr>
        <w:t>,</w:t>
      </w:r>
      <w:r w:rsidRPr="00577E17">
        <w:rPr>
          <w:sz w:val="26"/>
          <w:szCs w:val="26"/>
        </w:rPr>
        <w:t xml:space="preserve"> </w:t>
      </w:r>
      <w:r w:rsidRPr="004C6B3A">
        <w:rPr>
          <w:sz w:val="26"/>
          <w:szCs w:val="26"/>
        </w:rPr>
        <w:t xml:space="preserve">главных администраторов доходов бюджета </w:t>
      </w:r>
      <w:r>
        <w:rPr>
          <w:sz w:val="26"/>
          <w:szCs w:val="26"/>
        </w:rPr>
        <w:t>города Когалыма,</w:t>
      </w:r>
      <w:r w:rsidRPr="004C6B3A">
        <w:rPr>
          <w:sz w:val="26"/>
          <w:szCs w:val="26"/>
        </w:rPr>
        <w:t xml:space="preserve"> главных администраторов источников финансирования дефицита бюджета</w:t>
      </w:r>
      <w:r>
        <w:rPr>
          <w:sz w:val="26"/>
          <w:szCs w:val="26"/>
        </w:rPr>
        <w:t xml:space="preserve"> города Когалыма.</w:t>
      </w:r>
    </w:p>
    <w:p w:rsidR="00834C60" w:rsidRDefault="00147756" w:rsidP="00834C6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718C2">
        <w:rPr>
          <w:sz w:val="26"/>
          <w:szCs w:val="26"/>
        </w:rPr>
        <w:t>5</w:t>
      </w:r>
      <w:r w:rsidR="00834C60" w:rsidRPr="004C6B3A">
        <w:rPr>
          <w:sz w:val="26"/>
          <w:szCs w:val="26"/>
        </w:rPr>
        <w:t xml:space="preserve">. Контроль за выполнением настоящего приказа возложить на </w:t>
      </w:r>
      <w:r w:rsidR="00834C60">
        <w:rPr>
          <w:sz w:val="26"/>
          <w:szCs w:val="26"/>
        </w:rPr>
        <w:t xml:space="preserve">начальника отдела сводной отчетности Комитета </w:t>
      </w:r>
      <w:r w:rsidR="00834C60" w:rsidRPr="004C6B3A">
        <w:rPr>
          <w:sz w:val="26"/>
          <w:szCs w:val="26"/>
        </w:rPr>
        <w:t xml:space="preserve">финансов </w:t>
      </w:r>
      <w:r w:rsidR="00834C60">
        <w:rPr>
          <w:sz w:val="26"/>
          <w:szCs w:val="26"/>
        </w:rPr>
        <w:t>Администрации города Когалыма Мизь С.В.</w:t>
      </w:r>
    </w:p>
    <w:p w:rsidR="00D27AB1" w:rsidRDefault="00D27AB1" w:rsidP="00834C60">
      <w:pPr>
        <w:ind w:firstLine="708"/>
        <w:jc w:val="both"/>
        <w:rPr>
          <w:sz w:val="26"/>
          <w:szCs w:val="26"/>
        </w:rPr>
      </w:pPr>
    </w:p>
    <w:p w:rsidR="00D27AB1" w:rsidRDefault="00D27AB1" w:rsidP="00834C60">
      <w:pPr>
        <w:ind w:firstLine="708"/>
        <w:jc w:val="both"/>
        <w:rPr>
          <w:sz w:val="26"/>
          <w:szCs w:val="26"/>
        </w:rPr>
      </w:pPr>
    </w:p>
    <w:p w:rsidR="00834C60" w:rsidRDefault="00834C60" w:rsidP="00834C60">
      <w:pPr>
        <w:ind w:firstLine="708"/>
        <w:jc w:val="both"/>
        <w:rPr>
          <w:sz w:val="26"/>
          <w:szCs w:val="26"/>
        </w:rPr>
      </w:pPr>
    </w:p>
    <w:p w:rsidR="00834C60" w:rsidRDefault="00834C60" w:rsidP="00834C6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Председатель Комитета </w:t>
      </w:r>
      <w:r w:rsidRPr="004C6B3A">
        <w:rPr>
          <w:rFonts w:ascii="Times New Roman CYR" w:hAnsi="Times New Roman CYR" w:cs="Times New Roman CYR"/>
          <w:sz w:val="26"/>
          <w:szCs w:val="26"/>
        </w:rPr>
        <w:t>финансов</w:t>
      </w:r>
    </w:p>
    <w:p w:rsidR="00834C60" w:rsidRDefault="00834C60" w:rsidP="00834C60">
      <w:r>
        <w:rPr>
          <w:rFonts w:ascii="Times New Roman CYR" w:hAnsi="Times New Roman CYR" w:cs="Times New Roman CYR"/>
          <w:sz w:val="26"/>
          <w:szCs w:val="26"/>
        </w:rPr>
        <w:t xml:space="preserve">Администрации города Когалыма        </w:t>
      </w:r>
      <w:r w:rsidRPr="00264A31"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     М.Г.</w:t>
      </w:r>
      <w:r w:rsidR="00D27AB1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Рыбачок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</w:r>
    </w:p>
    <w:p w:rsidR="00D03046" w:rsidRDefault="00D03046">
      <w:pPr>
        <w:rPr>
          <w:sz w:val="26"/>
          <w:szCs w:val="26"/>
        </w:rPr>
      </w:pPr>
    </w:p>
    <w:p w:rsidR="00D03046" w:rsidRDefault="00D03046">
      <w:pPr>
        <w:rPr>
          <w:sz w:val="26"/>
          <w:szCs w:val="26"/>
        </w:rPr>
      </w:pPr>
    </w:p>
    <w:p w:rsidR="00D03046" w:rsidRPr="00D03046" w:rsidRDefault="00D03046">
      <w:pPr>
        <w:rPr>
          <w:sz w:val="26"/>
          <w:szCs w:val="26"/>
        </w:rPr>
      </w:pPr>
    </w:p>
    <w:sectPr w:rsidR="00D03046" w:rsidRPr="00D03046" w:rsidSect="00A569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046"/>
    <w:rsid w:val="00147756"/>
    <w:rsid w:val="00171376"/>
    <w:rsid w:val="002E5D72"/>
    <w:rsid w:val="00367FD6"/>
    <w:rsid w:val="00473E34"/>
    <w:rsid w:val="004E7B33"/>
    <w:rsid w:val="004F238A"/>
    <w:rsid w:val="0067195D"/>
    <w:rsid w:val="007668BC"/>
    <w:rsid w:val="00826634"/>
    <w:rsid w:val="00834C60"/>
    <w:rsid w:val="00A569F3"/>
    <w:rsid w:val="00B90A06"/>
    <w:rsid w:val="00BA7AE6"/>
    <w:rsid w:val="00BB755D"/>
    <w:rsid w:val="00C230FA"/>
    <w:rsid w:val="00C37510"/>
    <w:rsid w:val="00C718C2"/>
    <w:rsid w:val="00C95D14"/>
    <w:rsid w:val="00D03046"/>
    <w:rsid w:val="00D27AB1"/>
    <w:rsid w:val="00F60429"/>
    <w:rsid w:val="00FE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503B5F2-8AA9-43E4-A893-6C854C2D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5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18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18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Мизь Светлана Васильевна</dc:creator>
  <cp:keywords/>
  <dc:description/>
  <cp:lastModifiedBy>Острякина Марина Дмитриевна</cp:lastModifiedBy>
  <cp:revision>3</cp:revision>
  <cp:lastPrinted>2015-11-03T09:06:00Z</cp:lastPrinted>
  <dcterms:created xsi:type="dcterms:W3CDTF">2015-11-03T09:58:00Z</dcterms:created>
  <dcterms:modified xsi:type="dcterms:W3CDTF">2015-11-05T03:59:00Z</dcterms:modified>
</cp:coreProperties>
</file>