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6FF" w:rsidRDefault="00FA26FF" w:rsidP="00FA26F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4</w:t>
      </w:r>
      <w:r>
        <w:rPr>
          <w:rFonts w:ascii="Times New Roman" w:hAnsi="Times New Roman" w:cs="Times New Roman"/>
          <w:sz w:val="24"/>
          <w:szCs w:val="24"/>
        </w:rPr>
        <w:t xml:space="preserve"> </w:t>
      </w:r>
    </w:p>
    <w:p w:rsidR="00FA26FF" w:rsidRDefault="00FA26FF" w:rsidP="00FA26F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протоколу заседания Проектного комитета</w:t>
      </w:r>
    </w:p>
    <w:p w:rsidR="00FA26FF" w:rsidRDefault="00FA26FF" w:rsidP="00FA26F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Администрации города Когалыма</w:t>
      </w:r>
    </w:p>
    <w:p w:rsidR="00FA26FF" w:rsidRDefault="00FA26FF" w:rsidP="00FA26F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24.11.2017 №10</w:t>
      </w:r>
    </w:p>
    <w:p w:rsidR="00FA26FF" w:rsidRDefault="00FA26FF" w:rsidP="00FA26FF">
      <w:pPr>
        <w:autoSpaceDE w:val="0"/>
        <w:autoSpaceDN w:val="0"/>
        <w:adjustRightInd w:val="0"/>
        <w:spacing w:after="0" w:line="240" w:lineRule="auto"/>
        <w:ind w:firstLine="708"/>
        <w:jc w:val="center"/>
        <w:rPr>
          <w:rFonts w:ascii="Times New Roman" w:hAnsi="Times New Roman"/>
          <w:color w:val="000000"/>
          <w:sz w:val="26"/>
          <w:szCs w:val="26"/>
        </w:rPr>
      </w:pPr>
    </w:p>
    <w:p w:rsidR="008F3A61" w:rsidRPr="00FA26FF" w:rsidRDefault="00FA26FF" w:rsidP="00FA26FF">
      <w:pPr>
        <w:autoSpaceDE w:val="0"/>
        <w:autoSpaceDN w:val="0"/>
        <w:adjustRightInd w:val="0"/>
        <w:spacing w:after="0" w:line="240" w:lineRule="auto"/>
        <w:ind w:firstLine="708"/>
        <w:jc w:val="center"/>
        <w:rPr>
          <w:rFonts w:ascii="Times New Roman" w:hAnsi="Times New Roman" w:cs="Times New Roman"/>
          <w:bCs/>
          <w:sz w:val="26"/>
          <w:szCs w:val="26"/>
        </w:rPr>
      </w:pPr>
      <w:r w:rsidRPr="00FA26FF">
        <w:rPr>
          <w:rFonts w:ascii="Times New Roman" w:hAnsi="Times New Roman"/>
          <w:color w:val="000000"/>
          <w:sz w:val="26"/>
          <w:szCs w:val="26"/>
        </w:rPr>
        <w:t>Информация о</w:t>
      </w:r>
      <w:r w:rsidR="008F3A61" w:rsidRPr="00FA26FF">
        <w:rPr>
          <w:rFonts w:ascii="Times New Roman" w:hAnsi="Times New Roman" w:cs="Times New Roman"/>
          <w:bCs/>
          <w:sz w:val="26"/>
          <w:szCs w:val="26"/>
        </w:rPr>
        <w:t xml:space="preserve"> ходе реализации портфелей проектов, основанных на целевых моделях, определенных перечнем поручений </w:t>
      </w:r>
      <w:r>
        <w:rPr>
          <w:rFonts w:ascii="Times New Roman" w:hAnsi="Times New Roman" w:cs="Times New Roman"/>
          <w:bCs/>
          <w:sz w:val="26"/>
          <w:szCs w:val="26"/>
        </w:rPr>
        <w:t>Президента Российской Федерации</w:t>
      </w:r>
    </w:p>
    <w:p w:rsidR="008F3A61" w:rsidRDefault="008F3A61" w:rsidP="008F3A61">
      <w:pPr>
        <w:spacing w:after="0" w:line="240" w:lineRule="auto"/>
        <w:ind w:left="708"/>
        <w:jc w:val="both"/>
        <w:rPr>
          <w:rFonts w:ascii="Times New Roman" w:hAnsi="Times New Roman"/>
          <w:color w:val="000000"/>
          <w:sz w:val="26"/>
          <w:szCs w:val="26"/>
        </w:rPr>
      </w:pPr>
    </w:p>
    <w:p w:rsidR="008F3A61" w:rsidRDefault="008F3A61" w:rsidP="008F3A61">
      <w:pPr>
        <w:spacing w:after="0" w:line="240" w:lineRule="auto"/>
        <w:ind w:firstLine="708"/>
        <w:jc w:val="both"/>
        <w:rPr>
          <w:rFonts w:ascii="Times New Roman" w:hAnsi="Times New Roman"/>
          <w:color w:val="000000"/>
          <w:sz w:val="26"/>
          <w:szCs w:val="26"/>
        </w:rPr>
      </w:pPr>
      <w:r>
        <w:rPr>
          <w:rFonts w:ascii="Times New Roman" w:hAnsi="Times New Roman"/>
          <w:color w:val="000000"/>
          <w:sz w:val="26"/>
          <w:szCs w:val="26"/>
        </w:rPr>
        <w:t xml:space="preserve">Когалым принимает </w:t>
      </w:r>
      <w:r w:rsidRPr="000D3459">
        <w:rPr>
          <w:rFonts w:ascii="Times New Roman" w:hAnsi="Times New Roman"/>
          <w:color w:val="000000"/>
          <w:sz w:val="26"/>
          <w:szCs w:val="26"/>
        </w:rPr>
        <w:t xml:space="preserve">участие в </w:t>
      </w:r>
      <w:r>
        <w:rPr>
          <w:rFonts w:ascii="Times New Roman" w:hAnsi="Times New Roman"/>
          <w:color w:val="000000"/>
          <w:sz w:val="26"/>
          <w:szCs w:val="26"/>
        </w:rPr>
        <w:t>6</w:t>
      </w:r>
      <w:r w:rsidRPr="000D3459">
        <w:rPr>
          <w:rFonts w:ascii="Times New Roman" w:hAnsi="Times New Roman"/>
          <w:color w:val="000000"/>
          <w:sz w:val="26"/>
          <w:szCs w:val="26"/>
        </w:rPr>
        <w:t xml:space="preserve"> </w:t>
      </w:r>
      <w:r>
        <w:rPr>
          <w:rFonts w:ascii="Times New Roman" w:hAnsi="Times New Roman"/>
          <w:color w:val="000000"/>
          <w:sz w:val="26"/>
          <w:szCs w:val="26"/>
        </w:rPr>
        <w:t xml:space="preserve"> </w:t>
      </w:r>
      <w:r w:rsidRPr="000D3459">
        <w:rPr>
          <w:rFonts w:ascii="Times New Roman" w:hAnsi="Times New Roman"/>
          <w:color w:val="000000"/>
          <w:sz w:val="26"/>
          <w:szCs w:val="26"/>
        </w:rPr>
        <w:t>портфелях проектов</w:t>
      </w:r>
      <w:r>
        <w:rPr>
          <w:rFonts w:ascii="Times New Roman" w:hAnsi="Times New Roman"/>
          <w:color w:val="000000"/>
          <w:sz w:val="26"/>
          <w:szCs w:val="26"/>
        </w:rPr>
        <w:t>, основанных на целевых моделях.</w:t>
      </w:r>
    </w:p>
    <w:p w:rsidR="008F3A61" w:rsidRPr="00FA26FF" w:rsidRDefault="008F3A61" w:rsidP="008F3A61">
      <w:pPr>
        <w:keepLines/>
        <w:pBdr>
          <w:top w:val="single" w:sz="4" w:space="1" w:color="auto"/>
          <w:left w:val="single" w:sz="4" w:space="4" w:color="auto"/>
          <w:bottom w:val="single" w:sz="4" w:space="1" w:color="auto"/>
          <w:right w:val="single" w:sz="4" w:space="4" w:color="auto"/>
        </w:pBdr>
        <w:spacing w:after="0" w:line="240" w:lineRule="auto"/>
        <w:ind w:firstLine="708"/>
        <w:jc w:val="both"/>
        <w:outlineLvl w:val="1"/>
        <w:rPr>
          <w:rStyle w:val="A30"/>
          <w:rFonts w:ascii="Times New Roman" w:hAnsi="Times New Roman" w:cs="Times New Roman"/>
          <w:b w:val="0"/>
          <w:i/>
          <w:sz w:val="26"/>
          <w:szCs w:val="26"/>
        </w:rPr>
      </w:pPr>
      <w:r w:rsidRPr="00FA26FF">
        <w:rPr>
          <w:rStyle w:val="A30"/>
          <w:rFonts w:ascii="Times New Roman" w:hAnsi="Times New Roman" w:cs="Times New Roman"/>
          <w:b w:val="0"/>
          <w:i/>
          <w:sz w:val="26"/>
          <w:szCs w:val="26"/>
        </w:rPr>
        <w:t>- «Постановка на кадастровый учет земельных участков и объектов недвижимого имущества»</w:t>
      </w:r>
    </w:p>
    <w:p w:rsidR="008F3A61" w:rsidRPr="00FA26FF" w:rsidRDefault="008F3A61" w:rsidP="008F3A61">
      <w:pPr>
        <w:pBdr>
          <w:top w:val="single" w:sz="4" w:space="1" w:color="auto"/>
          <w:left w:val="single" w:sz="4" w:space="4" w:color="auto"/>
          <w:bottom w:val="single" w:sz="4" w:space="1" w:color="auto"/>
          <w:right w:val="single" w:sz="4" w:space="4" w:color="auto"/>
        </w:pBdr>
        <w:spacing w:after="0" w:line="240" w:lineRule="auto"/>
        <w:ind w:firstLine="708"/>
        <w:jc w:val="both"/>
        <w:rPr>
          <w:rFonts w:ascii="Times New Roman" w:hAnsi="Times New Roman"/>
          <w:i/>
          <w:sz w:val="26"/>
          <w:szCs w:val="26"/>
        </w:rPr>
      </w:pPr>
      <w:r w:rsidRPr="00FA26FF">
        <w:rPr>
          <w:rFonts w:ascii="Times New Roman" w:hAnsi="Times New Roman"/>
          <w:i/>
          <w:sz w:val="26"/>
          <w:szCs w:val="26"/>
        </w:rPr>
        <w:t>- «Получение разрешения на строительство и территориальное планирование».</w:t>
      </w:r>
    </w:p>
    <w:p w:rsidR="008F3A61" w:rsidRPr="00FA26FF" w:rsidRDefault="008F3A61" w:rsidP="008F3A61">
      <w:pPr>
        <w:keepLines/>
        <w:pBdr>
          <w:top w:val="single" w:sz="4" w:space="1" w:color="auto"/>
          <w:left w:val="single" w:sz="4" w:space="4" w:color="auto"/>
          <w:bottom w:val="single" w:sz="4" w:space="1" w:color="auto"/>
          <w:right w:val="single" w:sz="4" w:space="4" w:color="auto"/>
        </w:pBdr>
        <w:spacing w:after="0" w:line="240" w:lineRule="auto"/>
        <w:ind w:firstLine="708"/>
        <w:jc w:val="both"/>
        <w:outlineLvl w:val="1"/>
        <w:rPr>
          <w:rStyle w:val="A30"/>
          <w:rFonts w:ascii="Times New Roman" w:hAnsi="Times New Roman" w:cs="Times New Roman"/>
          <w:b w:val="0"/>
          <w:i/>
          <w:sz w:val="26"/>
          <w:szCs w:val="26"/>
        </w:rPr>
      </w:pPr>
      <w:r w:rsidRPr="00FA26FF">
        <w:rPr>
          <w:rStyle w:val="A30"/>
          <w:rFonts w:ascii="Times New Roman" w:hAnsi="Times New Roman" w:cs="Times New Roman"/>
          <w:b w:val="0"/>
          <w:i/>
          <w:sz w:val="26"/>
          <w:szCs w:val="26"/>
        </w:rPr>
        <w:t>- «Совершенствование и внедрение положений регионального инвестиционного стандарта»</w:t>
      </w:r>
    </w:p>
    <w:p w:rsidR="008F3A61" w:rsidRPr="00FA26FF" w:rsidRDefault="008F3A61" w:rsidP="008F3A61">
      <w:pPr>
        <w:keepLines/>
        <w:pBdr>
          <w:top w:val="single" w:sz="4" w:space="1" w:color="auto"/>
          <w:left w:val="single" w:sz="4" w:space="4" w:color="auto"/>
          <w:bottom w:val="single" w:sz="4" w:space="1" w:color="auto"/>
          <w:right w:val="single" w:sz="4" w:space="4" w:color="auto"/>
        </w:pBdr>
        <w:spacing w:after="0" w:line="240" w:lineRule="auto"/>
        <w:ind w:firstLine="708"/>
        <w:jc w:val="both"/>
        <w:outlineLvl w:val="1"/>
        <w:rPr>
          <w:rStyle w:val="A30"/>
          <w:rFonts w:ascii="Times New Roman" w:hAnsi="Times New Roman" w:cs="Times New Roman"/>
          <w:b w:val="0"/>
          <w:i/>
          <w:sz w:val="26"/>
          <w:szCs w:val="26"/>
        </w:rPr>
      </w:pPr>
      <w:r w:rsidRPr="00FA26FF">
        <w:rPr>
          <w:rStyle w:val="A30"/>
          <w:rFonts w:ascii="Times New Roman" w:hAnsi="Times New Roman" w:cs="Times New Roman"/>
          <w:b w:val="0"/>
          <w:i/>
          <w:sz w:val="26"/>
          <w:szCs w:val="26"/>
        </w:rPr>
        <w:t>- «Подключение (технологическое присоединение) к электрическим сетям»</w:t>
      </w:r>
    </w:p>
    <w:p w:rsidR="008F3A61" w:rsidRPr="00FA26FF" w:rsidRDefault="008F3A61" w:rsidP="008F3A61">
      <w:pPr>
        <w:pBdr>
          <w:top w:val="single" w:sz="4" w:space="1" w:color="auto"/>
          <w:left w:val="single" w:sz="4" w:space="4" w:color="auto"/>
          <w:bottom w:val="single" w:sz="4" w:space="1" w:color="auto"/>
          <w:right w:val="single" w:sz="4" w:space="4" w:color="auto"/>
        </w:pBdr>
        <w:spacing w:after="0" w:line="240" w:lineRule="auto"/>
        <w:ind w:firstLine="708"/>
        <w:jc w:val="both"/>
        <w:rPr>
          <w:rFonts w:ascii="Times New Roman" w:hAnsi="Times New Roman"/>
          <w:i/>
          <w:sz w:val="26"/>
          <w:szCs w:val="26"/>
        </w:rPr>
      </w:pPr>
      <w:r w:rsidRPr="00FA26FF">
        <w:rPr>
          <w:rStyle w:val="A30"/>
          <w:rFonts w:ascii="Times New Roman" w:hAnsi="Times New Roman" w:cs="Times New Roman"/>
          <w:b w:val="0"/>
          <w:i/>
          <w:sz w:val="26"/>
          <w:szCs w:val="26"/>
        </w:rPr>
        <w:t>- «Подключение (технологическое присоединение) к сетям теплоснабжения, водоснабжения и водоотведения»</w:t>
      </w:r>
    </w:p>
    <w:p w:rsidR="008F3A61" w:rsidRPr="00FA26FF" w:rsidRDefault="008F3A61" w:rsidP="008F3A61">
      <w:pPr>
        <w:keepLines/>
        <w:pBdr>
          <w:top w:val="single" w:sz="4" w:space="1" w:color="auto"/>
          <w:left w:val="single" w:sz="4" w:space="4" w:color="auto"/>
          <w:bottom w:val="single" w:sz="4" w:space="1" w:color="auto"/>
          <w:right w:val="single" w:sz="4" w:space="4" w:color="auto"/>
        </w:pBdr>
        <w:spacing w:after="0" w:line="240" w:lineRule="auto"/>
        <w:ind w:firstLine="708"/>
        <w:jc w:val="both"/>
        <w:outlineLvl w:val="1"/>
        <w:rPr>
          <w:rFonts w:ascii="Times New Roman" w:hAnsi="Times New Roman"/>
          <w:i/>
          <w:sz w:val="26"/>
          <w:szCs w:val="26"/>
        </w:rPr>
      </w:pPr>
      <w:r w:rsidRPr="00FA26FF">
        <w:rPr>
          <w:rStyle w:val="A30"/>
          <w:rFonts w:ascii="Times New Roman" w:hAnsi="Times New Roman" w:cs="Times New Roman"/>
          <w:b w:val="0"/>
          <w:i/>
          <w:sz w:val="26"/>
          <w:szCs w:val="26"/>
        </w:rPr>
        <w:t>- «Система мер по стимулированию развития малого и среднего предпринимательства»</w:t>
      </w:r>
    </w:p>
    <w:p w:rsidR="008F3A61" w:rsidRPr="007E3CAA" w:rsidRDefault="008F3A61" w:rsidP="008F3A61">
      <w:pPr>
        <w:spacing w:line="240" w:lineRule="auto"/>
        <w:ind w:firstLine="708"/>
        <w:jc w:val="both"/>
        <w:rPr>
          <w:rFonts w:ascii="Times New Roman" w:hAnsi="Times New Roman"/>
          <w:sz w:val="26"/>
          <w:szCs w:val="26"/>
        </w:rPr>
      </w:pPr>
      <w:r w:rsidRPr="007E3CAA">
        <w:rPr>
          <w:rFonts w:ascii="Times New Roman" w:hAnsi="Times New Roman"/>
          <w:sz w:val="26"/>
          <w:szCs w:val="26"/>
        </w:rPr>
        <w:t xml:space="preserve">Всего по состоянию на 24.11.2017 </w:t>
      </w:r>
      <w:r w:rsidRPr="007E3CAA">
        <w:rPr>
          <w:rFonts w:ascii="Times New Roman" w:hAnsi="Times New Roman"/>
          <w:b/>
          <w:sz w:val="26"/>
          <w:szCs w:val="26"/>
        </w:rPr>
        <w:t>выполнено 38 (из 44) мероприятий</w:t>
      </w:r>
      <w:r w:rsidRPr="007E3CAA">
        <w:rPr>
          <w:rFonts w:ascii="Times New Roman" w:hAnsi="Times New Roman"/>
          <w:sz w:val="26"/>
          <w:szCs w:val="26"/>
        </w:rPr>
        <w:t xml:space="preserve">, что составляет 86% от общего количества запланированных мероприятий в рамках шести портфелей проектов, и </w:t>
      </w:r>
      <w:r w:rsidRPr="007E3CAA">
        <w:rPr>
          <w:rFonts w:ascii="Times New Roman" w:hAnsi="Times New Roman"/>
          <w:b/>
          <w:sz w:val="26"/>
          <w:szCs w:val="26"/>
        </w:rPr>
        <w:t>достигнуто 39</w:t>
      </w:r>
      <w:r w:rsidRPr="007E3CAA">
        <w:rPr>
          <w:rFonts w:ascii="Times New Roman" w:hAnsi="Times New Roman"/>
          <w:sz w:val="26"/>
          <w:szCs w:val="26"/>
        </w:rPr>
        <w:t xml:space="preserve"> (</w:t>
      </w:r>
      <w:r w:rsidRPr="007E3CAA">
        <w:rPr>
          <w:rFonts w:ascii="Times New Roman" w:hAnsi="Times New Roman"/>
          <w:b/>
          <w:sz w:val="26"/>
          <w:szCs w:val="26"/>
        </w:rPr>
        <w:t>из 46</w:t>
      </w:r>
      <w:r w:rsidRPr="007E3CAA">
        <w:rPr>
          <w:rFonts w:ascii="Times New Roman" w:hAnsi="Times New Roman"/>
          <w:sz w:val="26"/>
          <w:szCs w:val="26"/>
        </w:rPr>
        <w:t>)показателей (86% от общего кол-ва показателей).</w:t>
      </w:r>
    </w:p>
    <w:p w:rsidR="008F3A61" w:rsidRPr="007E3CAA" w:rsidRDefault="008F3A61" w:rsidP="008F3A61">
      <w:pPr>
        <w:spacing w:after="0" w:line="240" w:lineRule="auto"/>
        <w:ind w:firstLine="709"/>
        <w:jc w:val="both"/>
        <w:rPr>
          <w:rFonts w:ascii="Times New Roman" w:hAnsi="Times New Roman"/>
          <w:sz w:val="26"/>
          <w:szCs w:val="26"/>
        </w:rPr>
      </w:pPr>
      <w:r w:rsidRPr="007E3CAA">
        <w:rPr>
          <w:rFonts w:ascii="Times New Roman" w:hAnsi="Times New Roman"/>
          <w:sz w:val="26"/>
          <w:szCs w:val="26"/>
        </w:rPr>
        <w:t xml:space="preserve">Планируется к 31 декабря 2017 года выполнить от </w:t>
      </w:r>
      <w:proofErr w:type="gramStart"/>
      <w:r w:rsidRPr="007E3CAA">
        <w:rPr>
          <w:rFonts w:ascii="Times New Roman" w:hAnsi="Times New Roman"/>
          <w:sz w:val="26"/>
          <w:szCs w:val="26"/>
        </w:rPr>
        <w:t>запланированных</w:t>
      </w:r>
      <w:proofErr w:type="gramEnd"/>
      <w:r w:rsidRPr="007E3CAA">
        <w:rPr>
          <w:rFonts w:ascii="Times New Roman" w:hAnsi="Times New Roman"/>
          <w:sz w:val="26"/>
          <w:szCs w:val="26"/>
        </w:rPr>
        <w:t xml:space="preserve"> </w:t>
      </w:r>
    </w:p>
    <w:p w:rsidR="008F3A61" w:rsidRPr="007E3CAA" w:rsidRDefault="008F3A61" w:rsidP="008F3A61">
      <w:pPr>
        <w:spacing w:after="0" w:line="240" w:lineRule="auto"/>
        <w:ind w:firstLine="709"/>
        <w:jc w:val="both"/>
        <w:rPr>
          <w:rFonts w:ascii="Times New Roman" w:hAnsi="Times New Roman"/>
          <w:sz w:val="26"/>
          <w:szCs w:val="26"/>
        </w:rPr>
      </w:pPr>
      <w:r w:rsidRPr="007E3CAA">
        <w:rPr>
          <w:rFonts w:ascii="Times New Roman" w:hAnsi="Times New Roman"/>
          <w:sz w:val="26"/>
          <w:szCs w:val="26"/>
        </w:rPr>
        <w:t xml:space="preserve">- </w:t>
      </w:r>
      <w:r w:rsidRPr="007E3CAA">
        <w:rPr>
          <w:rFonts w:ascii="Times New Roman" w:hAnsi="Times New Roman"/>
          <w:b/>
          <w:sz w:val="26"/>
          <w:szCs w:val="26"/>
        </w:rPr>
        <w:t>44 мероприятия</w:t>
      </w:r>
      <w:r w:rsidRPr="007E3CAA">
        <w:rPr>
          <w:rFonts w:ascii="Times New Roman" w:hAnsi="Times New Roman"/>
          <w:sz w:val="26"/>
          <w:szCs w:val="26"/>
        </w:rPr>
        <w:t>, что составляет 100% от общего количества;</w:t>
      </w:r>
    </w:p>
    <w:p w:rsidR="008F3A61" w:rsidRPr="00E950CB" w:rsidRDefault="008F3A61" w:rsidP="008F3A61">
      <w:pPr>
        <w:spacing w:after="0" w:line="240" w:lineRule="auto"/>
        <w:ind w:firstLine="709"/>
        <w:jc w:val="both"/>
        <w:rPr>
          <w:rFonts w:ascii="Times New Roman" w:hAnsi="Times New Roman"/>
          <w:b/>
          <w:sz w:val="26"/>
          <w:szCs w:val="26"/>
        </w:rPr>
      </w:pPr>
      <w:r w:rsidRPr="007E3CAA">
        <w:rPr>
          <w:rFonts w:ascii="Times New Roman" w:hAnsi="Times New Roman"/>
          <w:sz w:val="26"/>
          <w:szCs w:val="26"/>
        </w:rPr>
        <w:t xml:space="preserve">- достигнуть </w:t>
      </w:r>
      <w:r w:rsidRPr="007E3CAA">
        <w:rPr>
          <w:rFonts w:ascii="Times New Roman" w:hAnsi="Times New Roman"/>
          <w:b/>
          <w:sz w:val="26"/>
          <w:szCs w:val="26"/>
        </w:rPr>
        <w:t>43 показателя</w:t>
      </w:r>
      <w:r w:rsidRPr="007E3CAA">
        <w:rPr>
          <w:rFonts w:ascii="Times New Roman" w:hAnsi="Times New Roman"/>
          <w:sz w:val="26"/>
          <w:szCs w:val="26"/>
        </w:rPr>
        <w:t xml:space="preserve">, что составляет </w:t>
      </w:r>
      <w:r w:rsidRPr="007E3CAA">
        <w:rPr>
          <w:rFonts w:ascii="Times New Roman" w:hAnsi="Times New Roman"/>
          <w:b/>
          <w:sz w:val="26"/>
          <w:szCs w:val="26"/>
        </w:rPr>
        <w:t>93 %.</w:t>
      </w:r>
    </w:p>
    <w:p w:rsidR="008F3A61" w:rsidRDefault="008F3A61" w:rsidP="008F3A61">
      <w:pPr>
        <w:spacing w:after="0" w:line="240" w:lineRule="auto"/>
        <w:ind w:firstLine="709"/>
        <w:jc w:val="both"/>
        <w:rPr>
          <w:rFonts w:ascii="Times New Roman" w:hAnsi="Times New Roman"/>
          <w:sz w:val="26"/>
          <w:szCs w:val="26"/>
        </w:rPr>
      </w:pPr>
    </w:p>
    <w:p w:rsidR="008F3A61" w:rsidRPr="003502C9" w:rsidRDefault="008F3A61" w:rsidP="008F3A61">
      <w:pPr>
        <w:spacing w:line="240" w:lineRule="auto"/>
        <w:ind w:firstLine="708"/>
        <w:jc w:val="both"/>
        <w:rPr>
          <w:rFonts w:ascii="Times New Roman" w:hAnsi="Times New Roman"/>
          <w:b/>
          <w:sz w:val="26"/>
          <w:szCs w:val="26"/>
        </w:rPr>
      </w:pPr>
      <w:r w:rsidRPr="003502C9">
        <w:rPr>
          <w:rFonts w:ascii="Times New Roman" w:hAnsi="Times New Roman"/>
          <w:b/>
          <w:sz w:val="26"/>
          <w:szCs w:val="26"/>
        </w:rPr>
        <w:t xml:space="preserve">На </w:t>
      </w:r>
      <w:r>
        <w:rPr>
          <w:rFonts w:ascii="Times New Roman" w:hAnsi="Times New Roman"/>
          <w:b/>
          <w:sz w:val="26"/>
          <w:szCs w:val="26"/>
        </w:rPr>
        <w:t>24</w:t>
      </w:r>
      <w:r w:rsidRPr="003502C9">
        <w:rPr>
          <w:rFonts w:ascii="Times New Roman" w:hAnsi="Times New Roman"/>
          <w:b/>
          <w:sz w:val="26"/>
          <w:szCs w:val="26"/>
        </w:rPr>
        <w:t>.1</w:t>
      </w:r>
      <w:r>
        <w:rPr>
          <w:rFonts w:ascii="Times New Roman" w:hAnsi="Times New Roman"/>
          <w:b/>
          <w:sz w:val="26"/>
          <w:szCs w:val="26"/>
        </w:rPr>
        <w:t>1</w:t>
      </w:r>
      <w:r w:rsidRPr="003502C9">
        <w:rPr>
          <w:rFonts w:ascii="Times New Roman" w:hAnsi="Times New Roman"/>
          <w:b/>
          <w:sz w:val="26"/>
          <w:szCs w:val="26"/>
        </w:rPr>
        <w:t xml:space="preserve">.2017 не выполнено 6 мероприятий и не достигнуто </w:t>
      </w:r>
      <w:r>
        <w:rPr>
          <w:rFonts w:ascii="Times New Roman" w:hAnsi="Times New Roman"/>
          <w:b/>
          <w:sz w:val="26"/>
          <w:szCs w:val="26"/>
        </w:rPr>
        <w:t>7</w:t>
      </w:r>
      <w:r w:rsidRPr="003502C9">
        <w:rPr>
          <w:rFonts w:ascii="Times New Roman" w:hAnsi="Times New Roman"/>
          <w:b/>
          <w:sz w:val="26"/>
          <w:szCs w:val="26"/>
        </w:rPr>
        <w:t xml:space="preserve"> показателей</w:t>
      </w:r>
    </w:p>
    <w:p w:rsidR="008F3A61" w:rsidRPr="00FA26FF" w:rsidRDefault="008F3A61" w:rsidP="008F3A61">
      <w:pPr>
        <w:spacing w:after="0" w:line="240" w:lineRule="auto"/>
        <w:ind w:left="57" w:firstLine="651"/>
        <w:jc w:val="both"/>
        <w:rPr>
          <w:rStyle w:val="A30"/>
          <w:rFonts w:ascii="Times New Roman" w:hAnsi="Times New Roman" w:cs="Times New Roman"/>
          <w:b w:val="0"/>
          <w:sz w:val="26"/>
          <w:szCs w:val="26"/>
        </w:rPr>
      </w:pPr>
      <w:r w:rsidRPr="00FA26FF">
        <w:rPr>
          <w:rStyle w:val="A30"/>
          <w:rFonts w:ascii="Times New Roman" w:hAnsi="Times New Roman" w:cs="Times New Roman"/>
          <w:b w:val="0"/>
          <w:sz w:val="26"/>
          <w:szCs w:val="26"/>
        </w:rPr>
        <w:t>«Совершенствование и внедрение положений регионального инвестиционного стандарта»</w:t>
      </w:r>
    </w:p>
    <w:p w:rsidR="008F3A61" w:rsidRPr="00FA26FF" w:rsidRDefault="008F3A61" w:rsidP="008F3A61">
      <w:pPr>
        <w:spacing w:after="0" w:line="240" w:lineRule="auto"/>
        <w:ind w:left="57" w:firstLine="651"/>
        <w:jc w:val="both"/>
        <w:rPr>
          <w:rStyle w:val="A30"/>
          <w:rFonts w:ascii="Times New Roman" w:hAnsi="Times New Roman" w:cs="Times New Roman"/>
          <w:sz w:val="24"/>
          <w:szCs w:val="24"/>
        </w:rPr>
      </w:pPr>
      <w:r w:rsidRPr="00FA26FF">
        <w:rPr>
          <w:rStyle w:val="A30"/>
          <w:rFonts w:ascii="Times New Roman" w:hAnsi="Times New Roman" w:cs="Times New Roman"/>
          <w:sz w:val="24"/>
          <w:szCs w:val="24"/>
        </w:rPr>
        <w:t>Мероприятие:</w:t>
      </w:r>
    </w:p>
    <w:tbl>
      <w:tblPr>
        <w:tblStyle w:val="a5"/>
        <w:tblW w:w="10490" w:type="dxa"/>
        <w:tblInd w:w="108" w:type="dxa"/>
        <w:tblLayout w:type="fixed"/>
        <w:tblLook w:val="04A0" w:firstRow="1" w:lastRow="0" w:firstColumn="1" w:lastColumn="0" w:noHBand="0" w:noVBand="1"/>
      </w:tblPr>
      <w:tblGrid>
        <w:gridCol w:w="851"/>
        <w:gridCol w:w="5386"/>
        <w:gridCol w:w="4253"/>
      </w:tblGrid>
      <w:tr w:rsidR="008F3A61" w:rsidRPr="00DA4EF4" w:rsidTr="00262EAB">
        <w:trPr>
          <w:trHeight w:val="1386"/>
        </w:trPr>
        <w:tc>
          <w:tcPr>
            <w:tcW w:w="851" w:type="dxa"/>
            <w:noWrap/>
            <w:vAlign w:val="center"/>
            <w:hideMark/>
          </w:tcPr>
          <w:p w:rsidR="008F3A61" w:rsidRPr="00DA4EF4" w:rsidRDefault="008F3A61" w:rsidP="00262EAB">
            <w:pPr>
              <w:jc w:val="center"/>
              <w:rPr>
                <w:rFonts w:ascii="Times New Roman" w:hAnsi="Times New Roman"/>
                <w:b/>
                <w:bCs/>
                <w:sz w:val="20"/>
                <w:szCs w:val="20"/>
              </w:rPr>
            </w:pPr>
            <w:r w:rsidRPr="00DA4EF4">
              <w:rPr>
                <w:rFonts w:ascii="Times New Roman" w:hAnsi="Times New Roman"/>
                <w:b/>
                <w:bCs/>
                <w:sz w:val="20"/>
                <w:szCs w:val="20"/>
              </w:rPr>
              <w:t>2.6.1.</w:t>
            </w:r>
          </w:p>
        </w:tc>
        <w:tc>
          <w:tcPr>
            <w:tcW w:w="5386" w:type="dxa"/>
            <w:vAlign w:val="center"/>
            <w:hideMark/>
          </w:tcPr>
          <w:p w:rsidR="008F3A61" w:rsidRPr="00DA4EF4" w:rsidRDefault="008F3A61" w:rsidP="00262EAB">
            <w:pPr>
              <w:jc w:val="both"/>
              <w:rPr>
                <w:rFonts w:ascii="Times New Roman" w:hAnsi="Times New Roman"/>
                <w:sz w:val="20"/>
                <w:szCs w:val="20"/>
              </w:rPr>
            </w:pPr>
            <w:r w:rsidRPr="00DA4EF4">
              <w:rPr>
                <w:rFonts w:ascii="Times New Roman" w:hAnsi="Times New Roman"/>
                <w:sz w:val="20"/>
                <w:szCs w:val="20"/>
              </w:rPr>
              <w:t xml:space="preserve">Внесение изменений в регламент по сопровождению инвестиционных проектов в муниципальном образовании, в части регулирования взаимодействия с исполнительными органами государственной власти и институтами развития Ханты-Мансийского автономного округа – Югры </w:t>
            </w:r>
          </w:p>
        </w:tc>
        <w:tc>
          <w:tcPr>
            <w:tcW w:w="4253" w:type="dxa"/>
            <w:vAlign w:val="center"/>
            <w:hideMark/>
          </w:tcPr>
          <w:p w:rsidR="008F3A61" w:rsidRPr="00DA4EF4" w:rsidRDefault="008F3A61" w:rsidP="00262EAB">
            <w:pPr>
              <w:jc w:val="both"/>
              <w:rPr>
                <w:rFonts w:ascii="Times New Roman" w:hAnsi="Times New Roman"/>
                <w:sz w:val="20"/>
                <w:szCs w:val="20"/>
              </w:rPr>
            </w:pPr>
            <w:r w:rsidRPr="00DA4EF4">
              <w:rPr>
                <w:rFonts w:ascii="Times New Roman" w:hAnsi="Times New Roman"/>
                <w:sz w:val="20"/>
                <w:szCs w:val="20"/>
              </w:rPr>
              <w:t xml:space="preserve">Внесены изменения в реестр компонентов портфеля проектов. Срок мероприятия продлен </w:t>
            </w:r>
            <w:r w:rsidRPr="00DA4EF4">
              <w:rPr>
                <w:rFonts w:ascii="Times New Roman" w:hAnsi="Times New Roman"/>
                <w:b/>
                <w:sz w:val="20"/>
                <w:szCs w:val="20"/>
              </w:rPr>
              <w:t>до 15.12.2017</w:t>
            </w:r>
            <w:r w:rsidRPr="00DA4EF4">
              <w:rPr>
                <w:rFonts w:ascii="Times New Roman" w:hAnsi="Times New Roman"/>
                <w:sz w:val="20"/>
                <w:szCs w:val="20"/>
              </w:rPr>
              <w:t xml:space="preserve"> </w:t>
            </w:r>
          </w:p>
        </w:tc>
      </w:tr>
    </w:tbl>
    <w:p w:rsidR="008F3A61" w:rsidRPr="003502C9" w:rsidRDefault="008F3A61" w:rsidP="008F3A61">
      <w:pPr>
        <w:pStyle w:val="a3"/>
        <w:spacing w:after="0" w:line="240" w:lineRule="auto"/>
        <w:ind w:left="0" w:firstLine="708"/>
        <w:rPr>
          <w:rFonts w:ascii="Times New Roman" w:hAnsi="Times New Roman"/>
          <w:sz w:val="26"/>
          <w:szCs w:val="26"/>
        </w:rPr>
      </w:pPr>
      <w:r w:rsidRPr="003502C9">
        <w:rPr>
          <w:rFonts w:ascii="Times New Roman" w:hAnsi="Times New Roman"/>
          <w:sz w:val="26"/>
          <w:szCs w:val="26"/>
        </w:rPr>
        <w:t>«Получение разрешения на строительство и территориальное планирование»</w:t>
      </w:r>
    </w:p>
    <w:p w:rsidR="008F3A61" w:rsidRPr="003502C9" w:rsidRDefault="008F3A61" w:rsidP="008F3A61">
      <w:pPr>
        <w:pStyle w:val="a3"/>
        <w:spacing w:after="0" w:line="240" w:lineRule="auto"/>
        <w:ind w:left="0" w:firstLine="708"/>
        <w:rPr>
          <w:rFonts w:ascii="Times New Roman" w:hAnsi="Times New Roman"/>
          <w:b/>
        </w:rPr>
      </w:pPr>
      <w:r w:rsidRPr="003502C9">
        <w:rPr>
          <w:rFonts w:ascii="Times New Roman" w:hAnsi="Times New Roman"/>
          <w:b/>
        </w:rPr>
        <w:t>Мероприятия</w:t>
      </w:r>
    </w:p>
    <w:tbl>
      <w:tblPr>
        <w:tblStyle w:val="a5"/>
        <w:tblW w:w="10490" w:type="dxa"/>
        <w:tblInd w:w="108" w:type="dxa"/>
        <w:tblLayout w:type="fixed"/>
        <w:tblLook w:val="04A0" w:firstRow="1" w:lastRow="0" w:firstColumn="1" w:lastColumn="0" w:noHBand="0" w:noVBand="1"/>
      </w:tblPr>
      <w:tblGrid>
        <w:gridCol w:w="1134"/>
        <w:gridCol w:w="4253"/>
        <w:gridCol w:w="5103"/>
      </w:tblGrid>
      <w:tr w:rsidR="008F3A61" w:rsidRPr="00DA4EF4" w:rsidTr="00262EAB">
        <w:trPr>
          <w:trHeight w:val="2700"/>
        </w:trPr>
        <w:tc>
          <w:tcPr>
            <w:tcW w:w="1134" w:type="dxa"/>
            <w:noWrap/>
            <w:vAlign w:val="center"/>
            <w:hideMark/>
          </w:tcPr>
          <w:p w:rsidR="008F3A61" w:rsidRPr="00DA4EF4" w:rsidRDefault="008F3A61" w:rsidP="00262EAB">
            <w:pPr>
              <w:jc w:val="center"/>
              <w:rPr>
                <w:rFonts w:ascii="Times New Roman" w:hAnsi="Times New Roman"/>
                <w:b/>
                <w:bCs/>
                <w:sz w:val="20"/>
                <w:szCs w:val="20"/>
              </w:rPr>
            </w:pPr>
            <w:r w:rsidRPr="00DA4EF4">
              <w:rPr>
                <w:rFonts w:ascii="Times New Roman" w:hAnsi="Times New Roman"/>
                <w:b/>
                <w:bCs/>
                <w:sz w:val="20"/>
                <w:szCs w:val="20"/>
              </w:rPr>
              <w:t>4</w:t>
            </w:r>
          </w:p>
        </w:tc>
        <w:tc>
          <w:tcPr>
            <w:tcW w:w="4253" w:type="dxa"/>
            <w:vAlign w:val="center"/>
            <w:hideMark/>
          </w:tcPr>
          <w:p w:rsidR="008F3A61" w:rsidRPr="00DA4EF4" w:rsidRDefault="008F3A61" w:rsidP="00262EAB">
            <w:pPr>
              <w:jc w:val="both"/>
              <w:rPr>
                <w:rFonts w:ascii="Times New Roman" w:hAnsi="Times New Roman"/>
                <w:sz w:val="20"/>
                <w:szCs w:val="20"/>
              </w:rPr>
            </w:pPr>
            <w:r w:rsidRPr="00DA4EF4">
              <w:rPr>
                <w:rFonts w:ascii="Times New Roman" w:hAnsi="Times New Roman"/>
                <w:sz w:val="20"/>
                <w:szCs w:val="20"/>
              </w:rPr>
              <w:t>Разработка и утверждение на основе размещенного во ФГИС ТП генерального плана поселения, генерального плана городского округа программы комплексного развития систем коммунальной инфраструктуры поселения, городского округа</w:t>
            </w:r>
          </w:p>
        </w:tc>
        <w:tc>
          <w:tcPr>
            <w:tcW w:w="5103" w:type="dxa"/>
            <w:vAlign w:val="center"/>
            <w:hideMark/>
          </w:tcPr>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Заключен муниципальный контракт на выполнение работ по корректировке разделов  программы комплексного развития коммунальной инфраструктуры города Когалыма на 2018-2035 годы от 04.09.2017 (далее - ПКР). Разработчиками выполне</w:t>
            </w:r>
            <w:r>
              <w:rPr>
                <w:rFonts w:ascii="Times New Roman" w:hAnsi="Times New Roman"/>
                <w:sz w:val="20"/>
                <w:szCs w:val="20"/>
              </w:rPr>
              <w:t xml:space="preserve">на корректировка разделов ПКР. </w:t>
            </w:r>
          </w:p>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На очередное заседа</w:t>
            </w:r>
            <w:bookmarkStart w:id="0" w:name="_GoBack"/>
            <w:bookmarkEnd w:id="0"/>
            <w:r w:rsidRPr="00D719A2">
              <w:rPr>
                <w:rFonts w:ascii="Times New Roman" w:hAnsi="Times New Roman"/>
                <w:sz w:val="20"/>
                <w:szCs w:val="20"/>
              </w:rPr>
              <w:t>ние Думы города Когалыма (29.11.2017) запланировано вынесение проекта решения Думы города о назначении публичных слушаний на 01.12.2017.</w:t>
            </w:r>
          </w:p>
          <w:p w:rsidR="008F3A61" w:rsidRPr="00DA4EF4" w:rsidRDefault="008F3A61" w:rsidP="00262EAB">
            <w:pPr>
              <w:jc w:val="both"/>
              <w:rPr>
                <w:rFonts w:ascii="Times New Roman" w:hAnsi="Times New Roman"/>
                <w:sz w:val="20"/>
                <w:szCs w:val="20"/>
              </w:rPr>
            </w:pPr>
            <w:r w:rsidRPr="00D719A2">
              <w:rPr>
                <w:rFonts w:ascii="Times New Roman" w:hAnsi="Times New Roman"/>
                <w:sz w:val="20"/>
                <w:szCs w:val="20"/>
              </w:rPr>
              <w:t>Размещение во ФГИС ТП после утверждения проекта Программы на заседании Думы города Когалыма запланировано на декабрь 2017 года.</w:t>
            </w:r>
          </w:p>
        </w:tc>
      </w:tr>
      <w:tr w:rsidR="008F3A61" w:rsidRPr="00221360" w:rsidTr="00262EAB">
        <w:trPr>
          <w:trHeight w:val="2400"/>
        </w:trPr>
        <w:tc>
          <w:tcPr>
            <w:tcW w:w="1134" w:type="dxa"/>
            <w:noWrap/>
            <w:vAlign w:val="center"/>
          </w:tcPr>
          <w:p w:rsidR="008F3A61" w:rsidRPr="00221360" w:rsidRDefault="008F3A61" w:rsidP="00262EAB">
            <w:pPr>
              <w:ind w:firstLine="708"/>
              <w:jc w:val="center"/>
              <w:rPr>
                <w:rFonts w:ascii="Times New Roman" w:hAnsi="Times New Roman"/>
                <w:b/>
                <w:bCs/>
                <w:sz w:val="20"/>
                <w:szCs w:val="20"/>
              </w:rPr>
            </w:pPr>
            <w:r w:rsidRPr="00221360">
              <w:rPr>
                <w:rFonts w:ascii="Times New Roman" w:hAnsi="Times New Roman"/>
                <w:b/>
                <w:bCs/>
                <w:sz w:val="20"/>
                <w:szCs w:val="20"/>
              </w:rPr>
              <w:lastRenderedPageBreak/>
              <w:t>5</w:t>
            </w:r>
          </w:p>
        </w:tc>
        <w:tc>
          <w:tcPr>
            <w:tcW w:w="4253" w:type="dxa"/>
            <w:vAlign w:val="center"/>
            <w:hideMark/>
          </w:tcPr>
          <w:p w:rsidR="008F3A61" w:rsidRPr="00221360" w:rsidRDefault="008F3A61" w:rsidP="00262EAB">
            <w:pPr>
              <w:jc w:val="both"/>
              <w:rPr>
                <w:rFonts w:ascii="Times New Roman" w:hAnsi="Times New Roman"/>
                <w:sz w:val="20"/>
                <w:szCs w:val="20"/>
              </w:rPr>
            </w:pPr>
            <w:r w:rsidRPr="00221360">
              <w:rPr>
                <w:rFonts w:ascii="Times New Roman" w:hAnsi="Times New Roman"/>
                <w:sz w:val="20"/>
                <w:szCs w:val="20"/>
              </w:rPr>
              <w:t>Разработка и утверждение на основе размещенного во ФГИС ТП генерального плана поселения, генерального плана городского округа программы комплексного развития транспортной инфраструктуры поселения, городского округа</w:t>
            </w:r>
          </w:p>
        </w:tc>
        <w:tc>
          <w:tcPr>
            <w:tcW w:w="5103" w:type="dxa"/>
            <w:vAlign w:val="center"/>
            <w:hideMark/>
          </w:tcPr>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 xml:space="preserve">Заключен муниципальный контракт на разработку программы комплексного развития транспортной инфраструктуры города Когалыма от 10.08.2017. </w:t>
            </w:r>
          </w:p>
          <w:p w:rsidR="008F3A61" w:rsidRPr="00221360" w:rsidRDefault="008F3A61" w:rsidP="00262EAB">
            <w:pPr>
              <w:jc w:val="both"/>
              <w:rPr>
                <w:rFonts w:ascii="Times New Roman" w:hAnsi="Times New Roman"/>
                <w:sz w:val="20"/>
                <w:szCs w:val="20"/>
              </w:rPr>
            </w:pPr>
            <w:r w:rsidRPr="00D719A2">
              <w:rPr>
                <w:rFonts w:ascii="Times New Roman" w:hAnsi="Times New Roman"/>
                <w:sz w:val="20"/>
                <w:szCs w:val="20"/>
              </w:rPr>
              <w:t>17.11.2017 состоялись публичные слушания по проекту программы комплексного развития транспортной инфраструктуры города Когалыма. Программа будет размещена во ФГИС ТП после утверждения проекта Программы на очередном заседании Думы города Когалыма (29 ноября 2017 года).</w:t>
            </w:r>
          </w:p>
        </w:tc>
      </w:tr>
      <w:tr w:rsidR="008F3A61" w:rsidRPr="00221360" w:rsidTr="00262EAB">
        <w:trPr>
          <w:trHeight w:val="552"/>
        </w:trPr>
        <w:tc>
          <w:tcPr>
            <w:tcW w:w="1134" w:type="dxa"/>
            <w:noWrap/>
            <w:vAlign w:val="center"/>
          </w:tcPr>
          <w:p w:rsidR="008F3A61" w:rsidRPr="00221360" w:rsidRDefault="008F3A61" w:rsidP="00262EAB">
            <w:pPr>
              <w:ind w:firstLine="708"/>
              <w:jc w:val="center"/>
              <w:rPr>
                <w:rFonts w:ascii="Times New Roman" w:hAnsi="Times New Roman"/>
                <w:b/>
                <w:bCs/>
                <w:sz w:val="20"/>
                <w:szCs w:val="20"/>
              </w:rPr>
            </w:pPr>
            <w:r w:rsidRPr="00221360">
              <w:rPr>
                <w:rFonts w:ascii="Times New Roman" w:hAnsi="Times New Roman"/>
                <w:b/>
                <w:bCs/>
                <w:sz w:val="20"/>
                <w:szCs w:val="20"/>
              </w:rPr>
              <w:t>6</w:t>
            </w:r>
          </w:p>
        </w:tc>
        <w:tc>
          <w:tcPr>
            <w:tcW w:w="4253" w:type="dxa"/>
            <w:vAlign w:val="center"/>
            <w:hideMark/>
          </w:tcPr>
          <w:p w:rsidR="008F3A61" w:rsidRPr="00221360" w:rsidRDefault="008F3A61" w:rsidP="00262EAB">
            <w:pPr>
              <w:jc w:val="both"/>
              <w:rPr>
                <w:rFonts w:ascii="Times New Roman" w:hAnsi="Times New Roman"/>
                <w:sz w:val="20"/>
                <w:szCs w:val="20"/>
              </w:rPr>
            </w:pPr>
            <w:r w:rsidRPr="00221360">
              <w:rPr>
                <w:rFonts w:ascii="Times New Roman" w:hAnsi="Times New Roman"/>
                <w:sz w:val="20"/>
                <w:szCs w:val="20"/>
              </w:rPr>
              <w:t>Разработка и утверждение на основе размещенного во ФГИС ТП генерального плана поселения, генерального плана городского округа программы комплексного развития социальной инфраструктуры поселения, городского округа</w:t>
            </w:r>
          </w:p>
        </w:tc>
        <w:tc>
          <w:tcPr>
            <w:tcW w:w="5103" w:type="dxa"/>
            <w:vAlign w:val="center"/>
            <w:hideMark/>
          </w:tcPr>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Управлением экономики Администрации города Когалыма разработан проект программы комплексного развития социальной  инфраструктуры города Когалыма (далее – Программа).</w:t>
            </w:r>
          </w:p>
          <w:p w:rsidR="008F3A61" w:rsidRPr="00221360" w:rsidRDefault="008F3A61" w:rsidP="00262EAB">
            <w:pPr>
              <w:jc w:val="both"/>
              <w:rPr>
                <w:rFonts w:ascii="Times New Roman" w:hAnsi="Times New Roman"/>
                <w:sz w:val="20"/>
                <w:szCs w:val="20"/>
              </w:rPr>
            </w:pPr>
            <w:r w:rsidRPr="00D719A2">
              <w:rPr>
                <w:rFonts w:ascii="Times New Roman" w:hAnsi="Times New Roman"/>
                <w:sz w:val="20"/>
                <w:szCs w:val="20"/>
              </w:rPr>
              <w:t>16.11.2017  состоялись публичные слушания по проекту решения Думы города Когалыма «Об утверждении программы комплексного развития социальной инфраструктуры городского округа город Когалым». Программа будет размещена во ФГИС ТП после утверждения проекта Программы на очередном заседании Думы города Когалыма (29 ноября 2017 года).</w:t>
            </w:r>
          </w:p>
        </w:tc>
      </w:tr>
    </w:tbl>
    <w:p w:rsidR="008F3A61" w:rsidRPr="00DA4EF4" w:rsidRDefault="008F3A61" w:rsidP="008F3A61">
      <w:pPr>
        <w:spacing w:after="0" w:line="240" w:lineRule="auto"/>
        <w:ind w:firstLine="709"/>
        <w:jc w:val="both"/>
        <w:rPr>
          <w:rFonts w:ascii="Times New Roman" w:hAnsi="Times New Roman"/>
          <w:sz w:val="26"/>
          <w:szCs w:val="26"/>
        </w:rPr>
      </w:pPr>
    </w:p>
    <w:p w:rsidR="008F3A61" w:rsidRPr="003502C9" w:rsidRDefault="008F3A61" w:rsidP="008F3A61">
      <w:pPr>
        <w:spacing w:after="0" w:line="240" w:lineRule="auto"/>
        <w:ind w:firstLine="709"/>
        <w:jc w:val="both"/>
        <w:rPr>
          <w:rFonts w:ascii="Times New Roman" w:hAnsi="Times New Roman"/>
          <w:b/>
        </w:rPr>
      </w:pPr>
      <w:r w:rsidRPr="003502C9">
        <w:rPr>
          <w:rFonts w:ascii="Times New Roman" w:hAnsi="Times New Roman"/>
          <w:b/>
        </w:rPr>
        <w:t>Показатели:</w:t>
      </w:r>
    </w:p>
    <w:tbl>
      <w:tblPr>
        <w:tblStyle w:val="a5"/>
        <w:tblW w:w="10740" w:type="dxa"/>
        <w:tblLayout w:type="fixed"/>
        <w:tblLook w:val="04A0" w:firstRow="1" w:lastRow="0" w:firstColumn="1" w:lastColumn="0" w:noHBand="0" w:noVBand="1"/>
      </w:tblPr>
      <w:tblGrid>
        <w:gridCol w:w="1242"/>
        <w:gridCol w:w="4253"/>
        <w:gridCol w:w="5245"/>
      </w:tblGrid>
      <w:tr w:rsidR="008F3A61" w:rsidRPr="00221360" w:rsidTr="00262EAB">
        <w:trPr>
          <w:trHeight w:val="1395"/>
        </w:trPr>
        <w:tc>
          <w:tcPr>
            <w:tcW w:w="1242" w:type="dxa"/>
            <w:noWrap/>
            <w:vAlign w:val="center"/>
            <w:hideMark/>
          </w:tcPr>
          <w:p w:rsidR="008F3A61" w:rsidRPr="00221360" w:rsidRDefault="008F3A61" w:rsidP="00262EAB">
            <w:pPr>
              <w:jc w:val="center"/>
              <w:rPr>
                <w:rFonts w:ascii="Times New Roman" w:hAnsi="Times New Roman"/>
                <w:b/>
                <w:bCs/>
                <w:sz w:val="20"/>
                <w:szCs w:val="20"/>
              </w:rPr>
            </w:pPr>
            <w:r w:rsidRPr="00221360">
              <w:rPr>
                <w:rFonts w:ascii="Times New Roman" w:hAnsi="Times New Roman"/>
                <w:b/>
                <w:bCs/>
                <w:sz w:val="20"/>
                <w:szCs w:val="20"/>
              </w:rPr>
              <w:t>1.4.1.</w:t>
            </w:r>
          </w:p>
        </w:tc>
        <w:tc>
          <w:tcPr>
            <w:tcW w:w="4253" w:type="dxa"/>
            <w:vAlign w:val="center"/>
            <w:hideMark/>
          </w:tcPr>
          <w:p w:rsidR="008F3A61" w:rsidRPr="00221360" w:rsidRDefault="008F3A61" w:rsidP="00262EAB">
            <w:pPr>
              <w:jc w:val="both"/>
              <w:rPr>
                <w:rFonts w:ascii="Times New Roman" w:hAnsi="Times New Roman"/>
                <w:sz w:val="20"/>
                <w:szCs w:val="20"/>
              </w:rPr>
            </w:pPr>
            <w:r w:rsidRPr="00221360">
              <w:rPr>
                <w:rFonts w:ascii="Times New Roman" w:hAnsi="Times New Roman"/>
                <w:sz w:val="20"/>
                <w:szCs w:val="20"/>
              </w:rPr>
              <w:t>Наличие утвержденных и размещенных в ФГИС ТП программ комплексного развития систем коммунальной инфраструктуры поселения, городского округа</w:t>
            </w:r>
          </w:p>
        </w:tc>
        <w:tc>
          <w:tcPr>
            <w:tcW w:w="5245" w:type="dxa"/>
            <w:hideMark/>
          </w:tcPr>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Заключен муниципальный контракт на выполнение работ по корректировке разделов  программы комплексного развития коммунальной инфраструктуры города Когалыма на 2018-2035 годы от 04.09.2017 (далее - ПКР). Разработчиками выполнена корректировка разделов</w:t>
            </w:r>
            <w:r>
              <w:rPr>
                <w:rFonts w:ascii="Times New Roman" w:hAnsi="Times New Roman"/>
                <w:sz w:val="20"/>
                <w:szCs w:val="20"/>
              </w:rPr>
              <w:t xml:space="preserve"> ПКР. </w:t>
            </w:r>
          </w:p>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На очередное заседание Думы города Когалыма (29.11.2017) запланировано вынесение проекта решения Думы города о назначении публичных слушаний на 01.12.2017.</w:t>
            </w:r>
          </w:p>
          <w:p w:rsidR="008F3A61" w:rsidRPr="00221360" w:rsidRDefault="008F3A61" w:rsidP="00262EAB">
            <w:pPr>
              <w:jc w:val="both"/>
              <w:rPr>
                <w:rFonts w:ascii="Times New Roman" w:hAnsi="Times New Roman"/>
                <w:sz w:val="20"/>
                <w:szCs w:val="20"/>
              </w:rPr>
            </w:pPr>
            <w:r w:rsidRPr="00D719A2">
              <w:rPr>
                <w:rFonts w:ascii="Times New Roman" w:hAnsi="Times New Roman"/>
                <w:sz w:val="20"/>
                <w:szCs w:val="20"/>
              </w:rPr>
              <w:t>Размещение во ФГИС ТП после утверждения проекта Программы на заседании Думы города Когалыма запланировано на декабрь 2017 года.</w:t>
            </w:r>
          </w:p>
        </w:tc>
      </w:tr>
      <w:tr w:rsidR="008F3A61" w:rsidRPr="00221360" w:rsidTr="00262EAB">
        <w:trPr>
          <w:trHeight w:val="2290"/>
        </w:trPr>
        <w:tc>
          <w:tcPr>
            <w:tcW w:w="1242" w:type="dxa"/>
            <w:noWrap/>
            <w:vAlign w:val="center"/>
            <w:hideMark/>
          </w:tcPr>
          <w:p w:rsidR="008F3A61" w:rsidRPr="00221360" w:rsidRDefault="008F3A61" w:rsidP="00262EAB">
            <w:pPr>
              <w:jc w:val="center"/>
              <w:rPr>
                <w:rFonts w:ascii="Times New Roman" w:hAnsi="Times New Roman"/>
                <w:b/>
                <w:bCs/>
                <w:sz w:val="20"/>
                <w:szCs w:val="20"/>
              </w:rPr>
            </w:pPr>
            <w:r w:rsidRPr="00221360">
              <w:rPr>
                <w:rFonts w:ascii="Times New Roman" w:hAnsi="Times New Roman"/>
                <w:b/>
                <w:bCs/>
                <w:sz w:val="20"/>
                <w:szCs w:val="20"/>
              </w:rPr>
              <w:t>1.4.2.</w:t>
            </w:r>
          </w:p>
        </w:tc>
        <w:tc>
          <w:tcPr>
            <w:tcW w:w="4253" w:type="dxa"/>
            <w:vAlign w:val="center"/>
            <w:hideMark/>
          </w:tcPr>
          <w:p w:rsidR="008F3A61" w:rsidRPr="00221360" w:rsidRDefault="008F3A61" w:rsidP="00262EAB">
            <w:pPr>
              <w:jc w:val="both"/>
              <w:rPr>
                <w:rFonts w:ascii="Times New Roman" w:hAnsi="Times New Roman"/>
                <w:sz w:val="20"/>
                <w:szCs w:val="20"/>
              </w:rPr>
            </w:pPr>
            <w:r w:rsidRPr="00221360">
              <w:rPr>
                <w:rFonts w:ascii="Times New Roman" w:hAnsi="Times New Roman"/>
                <w:sz w:val="20"/>
                <w:szCs w:val="20"/>
              </w:rPr>
              <w:t>Наличие утвержденных и размещенных в ФГИС ТП программ комплексного развития транспортной инфраструктуры поселения, городского округа</w:t>
            </w:r>
          </w:p>
        </w:tc>
        <w:tc>
          <w:tcPr>
            <w:tcW w:w="5245" w:type="dxa"/>
            <w:hideMark/>
          </w:tcPr>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 xml:space="preserve">Заключен муниципальный контракт на разработку программы комплексного развития транспортной инфраструктуры города Когалыма от 10.08.2017. </w:t>
            </w:r>
          </w:p>
          <w:p w:rsidR="008F3A61" w:rsidRPr="00221360" w:rsidRDefault="008F3A61" w:rsidP="00262EAB">
            <w:pPr>
              <w:jc w:val="both"/>
              <w:rPr>
                <w:rFonts w:ascii="Times New Roman" w:hAnsi="Times New Roman"/>
                <w:sz w:val="20"/>
                <w:szCs w:val="20"/>
              </w:rPr>
            </w:pPr>
            <w:r w:rsidRPr="00D719A2">
              <w:rPr>
                <w:rFonts w:ascii="Times New Roman" w:hAnsi="Times New Roman"/>
                <w:sz w:val="20"/>
                <w:szCs w:val="20"/>
              </w:rPr>
              <w:t>17.11.2017 состоялись публичные слушания по проекту программы комплексного развития транспортной инфраструктуры города Когалыма. Программа будет размещена во ФГИС ТП после утверждения проекта Программы на очередном заседании Думы города Когалыма (29 ноября 2017 года).</w:t>
            </w:r>
          </w:p>
        </w:tc>
      </w:tr>
      <w:tr w:rsidR="008F3A61" w:rsidRPr="00221360" w:rsidTr="00262EAB">
        <w:trPr>
          <w:trHeight w:val="2960"/>
        </w:trPr>
        <w:tc>
          <w:tcPr>
            <w:tcW w:w="1242" w:type="dxa"/>
            <w:noWrap/>
            <w:vAlign w:val="center"/>
            <w:hideMark/>
          </w:tcPr>
          <w:p w:rsidR="008F3A61" w:rsidRPr="00221360" w:rsidRDefault="008F3A61" w:rsidP="00262EAB">
            <w:pPr>
              <w:jc w:val="center"/>
              <w:rPr>
                <w:rFonts w:ascii="Times New Roman" w:hAnsi="Times New Roman"/>
                <w:b/>
                <w:bCs/>
                <w:sz w:val="20"/>
                <w:szCs w:val="20"/>
              </w:rPr>
            </w:pPr>
            <w:r w:rsidRPr="00221360">
              <w:rPr>
                <w:rFonts w:ascii="Times New Roman" w:hAnsi="Times New Roman"/>
                <w:b/>
                <w:bCs/>
                <w:sz w:val="20"/>
                <w:szCs w:val="20"/>
              </w:rPr>
              <w:t>1.4.3.</w:t>
            </w:r>
          </w:p>
        </w:tc>
        <w:tc>
          <w:tcPr>
            <w:tcW w:w="4253" w:type="dxa"/>
            <w:vAlign w:val="center"/>
            <w:hideMark/>
          </w:tcPr>
          <w:p w:rsidR="008F3A61" w:rsidRDefault="008F3A61" w:rsidP="00262EAB">
            <w:pPr>
              <w:jc w:val="both"/>
              <w:rPr>
                <w:rFonts w:ascii="Times New Roman" w:hAnsi="Times New Roman"/>
                <w:sz w:val="20"/>
                <w:szCs w:val="20"/>
              </w:rPr>
            </w:pPr>
            <w:r w:rsidRPr="00221360">
              <w:rPr>
                <w:rFonts w:ascii="Times New Roman" w:hAnsi="Times New Roman"/>
                <w:sz w:val="20"/>
                <w:szCs w:val="20"/>
              </w:rPr>
              <w:t>Наличие утвержденных и размещенных в ФГИС ТП программ комплексного развития социальной инфраструктуры поселения, городского округа</w:t>
            </w:r>
          </w:p>
          <w:p w:rsidR="008F3A61" w:rsidRDefault="008F3A61" w:rsidP="00262EAB">
            <w:pPr>
              <w:rPr>
                <w:rFonts w:ascii="Times New Roman" w:hAnsi="Times New Roman"/>
                <w:sz w:val="20"/>
                <w:szCs w:val="20"/>
              </w:rPr>
            </w:pPr>
          </w:p>
          <w:p w:rsidR="008F3A61" w:rsidRPr="00D719A2" w:rsidRDefault="008F3A61" w:rsidP="00262EAB">
            <w:pPr>
              <w:rPr>
                <w:rFonts w:ascii="Times New Roman" w:hAnsi="Times New Roman"/>
                <w:sz w:val="20"/>
                <w:szCs w:val="20"/>
              </w:rPr>
            </w:pPr>
          </w:p>
          <w:p w:rsidR="008F3A61" w:rsidRPr="00D719A2" w:rsidRDefault="008F3A61" w:rsidP="00262EAB">
            <w:pPr>
              <w:rPr>
                <w:rFonts w:ascii="Times New Roman" w:hAnsi="Times New Roman"/>
                <w:sz w:val="20"/>
                <w:szCs w:val="20"/>
              </w:rPr>
            </w:pPr>
          </w:p>
          <w:p w:rsidR="008F3A61" w:rsidRDefault="008F3A61" w:rsidP="00262EAB">
            <w:pPr>
              <w:rPr>
                <w:rFonts w:ascii="Times New Roman" w:hAnsi="Times New Roman"/>
                <w:sz w:val="20"/>
                <w:szCs w:val="20"/>
              </w:rPr>
            </w:pPr>
          </w:p>
          <w:p w:rsidR="008F3A61" w:rsidRDefault="008F3A61" w:rsidP="00262EAB">
            <w:pPr>
              <w:rPr>
                <w:rFonts w:ascii="Times New Roman" w:hAnsi="Times New Roman"/>
                <w:sz w:val="20"/>
                <w:szCs w:val="20"/>
              </w:rPr>
            </w:pPr>
          </w:p>
          <w:p w:rsidR="008F3A61" w:rsidRPr="00D719A2" w:rsidRDefault="008F3A61" w:rsidP="00262EAB">
            <w:pPr>
              <w:rPr>
                <w:rFonts w:ascii="Times New Roman" w:hAnsi="Times New Roman"/>
                <w:sz w:val="20"/>
                <w:szCs w:val="20"/>
              </w:rPr>
            </w:pPr>
          </w:p>
        </w:tc>
        <w:tc>
          <w:tcPr>
            <w:tcW w:w="5245" w:type="dxa"/>
            <w:hideMark/>
          </w:tcPr>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Управлением экономики Администрации города Когалыма разработан проект программы комплексного развития социальной  инфраструктуры города Когалыма (далее – Программа).</w:t>
            </w:r>
          </w:p>
          <w:p w:rsidR="008F3A61" w:rsidRPr="00221360" w:rsidRDefault="008F3A61" w:rsidP="00262EAB">
            <w:pPr>
              <w:jc w:val="both"/>
              <w:rPr>
                <w:rFonts w:ascii="Times New Roman" w:hAnsi="Times New Roman"/>
                <w:sz w:val="20"/>
                <w:szCs w:val="20"/>
              </w:rPr>
            </w:pPr>
            <w:r w:rsidRPr="00D719A2">
              <w:rPr>
                <w:rFonts w:ascii="Times New Roman" w:hAnsi="Times New Roman"/>
                <w:sz w:val="20"/>
                <w:szCs w:val="20"/>
              </w:rPr>
              <w:t>16.11.2017  состоялись публичные слушания по проекту решения Думы города Когалыма «Об утверждении программы комплексного развития социальной инфраструктуры городского округа город Когалым». Программа будет размещена во ФГИС ТП после утверждения проекта Программы на очередном заседании Думы города Когалыма (29 ноября 2017 года).</w:t>
            </w:r>
          </w:p>
        </w:tc>
      </w:tr>
      <w:tr w:rsidR="008F3A61" w:rsidRPr="00221360" w:rsidTr="00262EAB">
        <w:trPr>
          <w:trHeight w:val="698"/>
        </w:trPr>
        <w:tc>
          <w:tcPr>
            <w:tcW w:w="1242" w:type="dxa"/>
            <w:noWrap/>
            <w:hideMark/>
          </w:tcPr>
          <w:p w:rsidR="008F3A61" w:rsidRPr="00221360" w:rsidRDefault="008F3A61" w:rsidP="00262EAB">
            <w:pPr>
              <w:jc w:val="center"/>
              <w:rPr>
                <w:rFonts w:ascii="Times New Roman" w:hAnsi="Times New Roman"/>
                <w:b/>
                <w:bCs/>
                <w:sz w:val="20"/>
                <w:szCs w:val="20"/>
              </w:rPr>
            </w:pPr>
            <w:r w:rsidRPr="00221360">
              <w:rPr>
                <w:rFonts w:ascii="Times New Roman" w:hAnsi="Times New Roman"/>
                <w:b/>
                <w:bCs/>
                <w:sz w:val="20"/>
                <w:szCs w:val="20"/>
              </w:rPr>
              <w:t>2.2.1.</w:t>
            </w:r>
          </w:p>
        </w:tc>
        <w:tc>
          <w:tcPr>
            <w:tcW w:w="4253" w:type="dxa"/>
            <w:hideMark/>
          </w:tcPr>
          <w:p w:rsidR="008F3A61" w:rsidRPr="00221360" w:rsidRDefault="008F3A61" w:rsidP="00262EAB">
            <w:pPr>
              <w:jc w:val="both"/>
              <w:rPr>
                <w:rFonts w:ascii="Times New Roman" w:hAnsi="Times New Roman"/>
                <w:sz w:val="20"/>
                <w:szCs w:val="20"/>
              </w:rPr>
            </w:pPr>
            <w:r w:rsidRPr="00221360">
              <w:rPr>
                <w:rFonts w:ascii="Times New Roman" w:hAnsi="Times New Roman"/>
                <w:sz w:val="20"/>
                <w:szCs w:val="20"/>
              </w:rPr>
              <w:t>Доля предоставленных услуг в электронном виде в общем количестве предоставленных услуг (ГПЗУ)</w:t>
            </w:r>
          </w:p>
        </w:tc>
        <w:tc>
          <w:tcPr>
            <w:tcW w:w="5245" w:type="dxa"/>
            <w:hideMark/>
          </w:tcPr>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По состоянию на 24.11.2017 - 10% (7 услуг)</w:t>
            </w:r>
          </w:p>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В настоящее время в работе находится ещё 9 заявлений. До 05.12.2017 данный показатель будет составлять 20%.</w:t>
            </w:r>
          </w:p>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Основные проблемы:</w:t>
            </w:r>
          </w:p>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 xml:space="preserve">- значительное количество услуг оказывается для юридических лиц и ИП, которым при регистрации на Портале </w:t>
            </w:r>
            <w:proofErr w:type="spellStart"/>
            <w:r w:rsidRPr="00D719A2">
              <w:rPr>
                <w:rFonts w:ascii="Times New Roman" w:hAnsi="Times New Roman"/>
                <w:sz w:val="20"/>
                <w:szCs w:val="20"/>
              </w:rPr>
              <w:t>госуслуг</w:t>
            </w:r>
            <w:proofErr w:type="spellEnd"/>
            <w:r w:rsidRPr="00D719A2">
              <w:rPr>
                <w:rFonts w:ascii="Times New Roman" w:hAnsi="Times New Roman"/>
                <w:sz w:val="20"/>
                <w:szCs w:val="20"/>
              </w:rPr>
              <w:t xml:space="preserve"> необходимо получить электронную </w:t>
            </w:r>
            <w:r w:rsidRPr="00D719A2">
              <w:rPr>
                <w:rFonts w:ascii="Times New Roman" w:hAnsi="Times New Roman"/>
                <w:sz w:val="20"/>
                <w:szCs w:val="20"/>
              </w:rPr>
              <w:lastRenderedPageBreak/>
              <w:t xml:space="preserve">цифровую подпись, она является платной для заявителя, </w:t>
            </w:r>
            <w:proofErr w:type="gramStart"/>
            <w:r w:rsidRPr="00D719A2">
              <w:rPr>
                <w:rFonts w:ascii="Times New Roman" w:hAnsi="Times New Roman"/>
                <w:sz w:val="20"/>
                <w:szCs w:val="20"/>
              </w:rPr>
              <w:t>следовательно</w:t>
            </w:r>
            <w:proofErr w:type="gramEnd"/>
            <w:r w:rsidRPr="00D719A2">
              <w:rPr>
                <w:rFonts w:ascii="Times New Roman" w:hAnsi="Times New Roman"/>
                <w:sz w:val="20"/>
                <w:szCs w:val="20"/>
              </w:rPr>
              <w:t xml:space="preserve"> они  отказываются ее получать и теряют возможность подать заявление на получение ГПЗУ через ЕПГУ. </w:t>
            </w:r>
          </w:p>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 xml:space="preserve">- при подаче заявлений через ЕПГУ заявитель в качестве места получения муниципальной услуги чаще всего указывает Администрацию города Когалыма. </w:t>
            </w:r>
            <w:proofErr w:type="gramStart"/>
            <w:r w:rsidRPr="00D719A2">
              <w:rPr>
                <w:rFonts w:ascii="Times New Roman" w:hAnsi="Times New Roman"/>
                <w:sz w:val="20"/>
                <w:szCs w:val="20"/>
              </w:rPr>
              <w:t>Согласно методики</w:t>
            </w:r>
            <w:proofErr w:type="gramEnd"/>
            <w:r w:rsidRPr="00D719A2">
              <w:rPr>
                <w:rFonts w:ascii="Times New Roman" w:hAnsi="Times New Roman"/>
                <w:sz w:val="20"/>
                <w:szCs w:val="20"/>
              </w:rPr>
              <w:t xml:space="preserve"> расчёта данного показателя, считаются услуги, выданные через ЕПГУ (в случае если заявитель указывает это при подаче заявления).</w:t>
            </w:r>
          </w:p>
          <w:p w:rsidR="008F3A61" w:rsidRPr="00221360" w:rsidRDefault="008F3A61" w:rsidP="00262EAB">
            <w:pPr>
              <w:jc w:val="both"/>
              <w:rPr>
                <w:rFonts w:ascii="Times New Roman" w:hAnsi="Times New Roman"/>
                <w:sz w:val="20"/>
                <w:szCs w:val="20"/>
              </w:rPr>
            </w:pPr>
            <w:r w:rsidRPr="00D719A2">
              <w:rPr>
                <w:rFonts w:ascii="Times New Roman" w:hAnsi="Times New Roman"/>
                <w:sz w:val="20"/>
                <w:szCs w:val="20"/>
              </w:rPr>
              <w:t>При этом информационная компания по предоставлению услуг в электронном виде проводится в полной мере.</w:t>
            </w:r>
          </w:p>
        </w:tc>
      </w:tr>
      <w:tr w:rsidR="008F3A61" w:rsidRPr="00221360" w:rsidTr="00262EAB">
        <w:trPr>
          <w:trHeight w:val="1365"/>
        </w:trPr>
        <w:tc>
          <w:tcPr>
            <w:tcW w:w="1242" w:type="dxa"/>
            <w:noWrap/>
            <w:hideMark/>
          </w:tcPr>
          <w:p w:rsidR="008F3A61" w:rsidRPr="00221360" w:rsidRDefault="008F3A61" w:rsidP="00262EAB">
            <w:pPr>
              <w:jc w:val="center"/>
              <w:rPr>
                <w:rFonts w:ascii="Times New Roman" w:hAnsi="Times New Roman"/>
                <w:b/>
                <w:bCs/>
                <w:sz w:val="20"/>
                <w:szCs w:val="20"/>
              </w:rPr>
            </w:pPr>
            <w:r w:rsidRPr="00221360">
              <w:rPr>
                <w:rFonts w:ascii="Times New Roman" w:hAnsi="Times New Roman"/>
                <w:b/>
                <w:bCs/>
                <w:sz w:val="20"/>
                <w:szCs w:val="20"/>
              </w:rPr>
              <w:lastRenderedPageBreak/>
              <w:t>5.2.1.</w:t>
            </w:r>
          </w:p>
        </w:tc>
        <w:tc>
          <w:tcPr>
            <w:tcW w:w="4253" w:type="dxa"/>
            <w:hideMark/>
          </w:tcPr>
          <w:p w:rsidR="008F3A61" w:rsidRPr="00221360" w:rsidRDefault="008F3A61" w:rsidP="00262EAB">
            <w:pPr>
              <w:jc w:val="both"/>
              <w:rPr>
                <w:rFonts w:ascii="Times New Roman" w:hAnsi="Times New Roman"/>
                <w:sz w:val="20"/>
                <w:szCs w:val="20"/>
              </w:rPr>
            </w:pPr>
            <w:r w:rsidRPr="00221360">
              <w:rPr>
                <w:rFonts w:ascii="Times New Roman" w:hAnsi="Times New Roman"/>
                <w:sz w:val="20"/>
                <w:szCs w:val="20"/>
              </w:rPr>
              <w:t>Доля услуг, предоставленных в электронном виде, в общем количестве предоставленных услуг (Получение разрешения на строительство)</w:t>
            </w:r>
          </w:p>
        </w:tc>
        <w:tc>
          <w:tcPr>
            <w:tcW w:w="5245" w:type="dxa"/>
            <w:hideMark/>
          </w:tcPr>
          <w:p w:rsidR="008F3A61" w:rsidRPr="00D719A2" w:rsidRDefault="008F3A61" w:rsidP="00262EAB">
            <w:pPr>
              <w:jc w:val="both"/>
              <w:rPr>
                <w:rFonts w:ascii="Times New Roman" w:hAnsi="Times New Roman"/>
                <w:b/>
                <w:sz w:val="20"/>
                <w:szCs w:val="20"/>
              </w:rPr>
            </w:pPr>
            <w:r w:rsidRPr="00D719A2">
              <w:rPr>
                <w:rFonts w:ascii="Times New Roman" w:hAnsi="Times New Roman"/>
                <w:b/>
                <w:sz w:val="20"/>
                <w:szCs w:val="20"/>
              </w:rPr>
              <w:t>По состоянию на 24.11.2017 - 17% (5 услуг)</w:t>
            </w:r>
          </w:p>
          <w:p w:rsidR="008F3A61" w:rsidRPr="00D719A2" w:rsidRDefault="008F3A61" w:rsidP="00262EAB">
            <w:pPr>
              <w:jc w:val="both"/>
              <w:rPr>
                <w:rFonts w:ascii="Times New Roman" w:hAnsi="Times New Roman"/>
                <w:sz w:val="20"/>
                <w:szCs w:val="20"/>
              </w:rPr>
            </w:pPr>
          </w:p>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Основные проблемы:</w:t>
            </w:r>
          </w:p>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 отсутствуют заявления, поданные через ЕПГУ, так проектная документация разрабатывается и предоставляется заявителю проектной организацией на бумажном носителе, что затрудняет прикрепление документов в личном кабинете на ЕПГУ. Дополнительное предоставление проектной документации в эл. виде заявителю является платной услугой, они отказываются ее получать, следовательно, теряют возможность подать заявление в эл. виде.</w:t>
            </w:r>
          </w:p>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 ограниченный объём прикрепляемой на портале информации (не более 5Мегабайт). Чаще всего разделы проектной документации имеют больший объём (7-12Мегабайт).</w:t>
            </w:r>
          </w:p>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 xml:space="preserve">- - значительное количество услуг оказывается для юридических лиц и ИП, которым необходимо получить электронную цифровую подпись, она является платной для заявителя, </w:t>
            </w:r>
            <w:proofErr w:type="gramStart"/>
            <w:r w:rsidRPr="00D719A2">
              <w:rPr>
                <w:rFonts w:ascii="Times New Roman" w:hAnsi="Times New Roman"/>
                <w:sz w:val="20"/>
                <w:szCs w:val="20"/>
              </w:rPr>
              <w:t>следовательно</w:t>
            </w:r>
            <w:proofErr w:type="gramEnd"/>
            <w:r w:rsidRPr="00D719A2">
              <w:rPr>
                <w:rFonts w:ascii="Times New Roman" w:hAnsi="Times New Roman"/>
                <w:sz w:val="20"/>
                <w:szCs w:val="20"/>
              </w:rPr>
              <w:t xml:space="preserve"> они  отказываются ее получать и теряют возможность подать заявление на получение ГПЗУ через ЕПГУ. </w:t>
            </w:r>
          </w:p>
          <w:p w:rsidR="008F3A61" w:rsidRPr="00221360" w:rsidRDefault="008F3A61" w:rsidP="00262EAB">
            <w:pPr>
              <w:jc w:val="both"/>
              <w:rPr>
                <w:rFonts w:ascii="Times New Roman" w:hAnsi="Times New Roman"/>
                <w:sz w:val="20"/>
                <w:szCs w:val="20"/>
              </w:rPr>
            </w:pPr>
            <w:r w:rsidRPr="00D719A2">
              <w:rPr>
                <w:rFonts w:ascii="Times New Roman" w:hAnsi="Times New Roman"/>
                <w:sz w:val="20"/>
                <w:szCs w:val="20"/>
              </w:rPr>
              <w:t xml:space="preserve">- при подаче заявлений через ЕПГУ заявитель в качестве места получения муниципальной услуги чаще всего указывает Администрацию города Когалыма. </w:t>
            </w:r>
            <w:proofErr w:type="gramStart"/>
            <w:r w:rsidRPr="00D719A2">
              <w:rPr>
                <w:rFonts w:ascii="Times New Roman" w:hAnsi="Times New Roman"/>
                <w:sz w:val="20"/>
                <w:szCs w:val="20"/>
              </w:rPr>
              <w:t>Согласно методики</w:t>
            </w:r>
            <w:proofErr w:type="gramEnd"/>
            <w:r w:rsidRPr="00D719A2">
              <w:rPr>
                <w:rFonts w:ascii="Times New Roman" w:hAnsi="Times New Roman"/>
                <w:sz w:val="20"/>
                <w:szCs w:val="20"/>
              </w:rPr>
              <w:t xml:space="preserve"> расчёта данного показателя, считаются услуги, выданные через ЕПГУ (в случае если заявитель указывает это при подаче заявления).</w:t>
            </w:r>
          </w:p>
        </w:tc>
      </w:tr>
      <w:tr w:rsidR="008F3A61" w:rsidRPr="00221360" w:rsidTr="00262EAB">
        <w:trPr>
          <w:trHeight w:val="1365"/>
        </w:trPr>
        <w:tc>
          <w:tcPr>
            <w:tcW w:w="1242" w:type="dxa"/>
            <w:noWrap/>
            <w:vAlign w:val="center"/>
            <w:hideMark/>
          </w:tcPr>
          <w:p w:rsidR="008F3A61" w:rsidRPr="00D719A2" w:rsidRDefault="008F3A61" w:rsidP="00262EAB">
            <w:pPr>
              <w:jc w:val="center"/>
              <w:rPr>
                <w:rFonts w:ascii="Times New Roman" w:hAnsi="Times New Roman"/>
                <w:b/>
                <w:bCs/>
                <w:sz w:val="20"/>
                <w:szCs w:val="20"/>
              </w:rPr>
            </w:pPr>
            <w:r w:rsidRPr="00D719A2">
              <w:rPr>
                <w:rFonts w:ascii="Times New Roman" w:hAnsi="Times New Roman"/>
                <w:b/>
                <w:bCs/>
                <w:sz w:val="20"/>
                <w:szCs w:val="20"/>
              </w:rPr>
              <w:t>5.3.1.</w:t>
            </w:r>
          </w:p>
        </w:tc>
        <w:tc>
          <w:tcPr>
            <w:tcW w:w="4253" w:type="dxa"/>
            <w:vAlign w:val="center"/>
            <w:hideMark/>
          </w:tcPr>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Доля услуг, предоставленных в МФЦ, в общем количестве предоставленных услуг (Получение разрешения на строительство)</w:t>
            </w:r>
          </w:p>
        </w:tc>
        <w:tc>
          <w:tcPr>
            <w:tcW w:w="5245" w:type="dxa"/>
            <w:hideMark/>
          </w:tcPr>
          <w:p w:rsidR="008F3A61" w:rsidRPr="00D719A2" w:rsidRDefault="008F3A61" w:rsidP="00262EAB">
            <w:pPr>
              <w:jc w:val="both"/>
              <w:rPr>
                <w:rFonts w:ascii="Times New Roman" w:hAnsi="Times New Roman"/>
                <w:b/>
                <w:sz w:val="20"/>
                <w:szCs w:val="20"/>
              </w:rPr>
            </w:pPr>
            <w:r w:rsidRPr="00D719A2">
              <w:rPr>
                <w:rFonts w:ascii="Times New Roman" w:hAnsi="Times New Roman"/>
                <w:b/>
                <w:sz w:val="20"/>
                <w:szCs w:val="20"/>
              </w:rPr>
              <w:t>По</w:t>
            </w:r>
            <w:r w:rsidRPr="00D719A2">
              <w:rPr>
                <w:rFonts w:ascii="Times New Roman" w:hAnsi="Times New Roman"/>
                <w:sz w:val="20"/>
                <w:szCs w:val="20"/>
              </w:rPr>
              <w:t xml:space="preserve"> </w:t>
            </w:r>
            <w:r w:rsidRPr="00D719A2">
              <w:rPr>
                <w:rFonts w:ascii="Times New Roman" w:hAnsi="Times New Roman"/>
                <w:b/>
                <w:sz w:val="20"/>
                <w:szCs w:val="20"/>
              </w:rPr>
              <w:t>состоянию на 24.11.2017 - 8% (2 услуги)</w:t>
            </w:r>
          </w:p>
          <w:p w:rsidR="008F3A61" w:rsidRDefault="008F3A61" w:rsidP="00262EAB">
            <w:pPr>
              <w:jc w:val="both"/>
              <w:rPr>
                <w:rFonts w:ascii="Times New Roman" w:hAnsi="Times New Roman"/>
                <w:sz w:val="20"/>
                <w:szCs w:val="20"/>
              </w:rPr>
            </w:pPr>
          </w:p>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В настоящее время в работе находится ещё 1 заявление. К 01.12.2017 планируется достижение показателя на уровне 10%.</w:t>
            </w:r>
          </w:p>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Основные проблемы:</w:t>
            </w:r>
          </w:p>
          <w:p w:rsidR="008F3A61" w:rsidRPr="00D719A2" w:rsidRDefault="008F3A61" w:rsidP="00262EAB">
            <w:pPr>
              <w:jc w:val="both"/>
              <w:rPr>
                <w:rFonts w:ascii="Times New Roman" w:hAnsi="Times New Roman"/>
                <w:b/>
                <w:sz w:val="20"/>
                <w:szCs w:val="20"/>
              </w:rPr>
            </w:pPr>
            <w:r w:rsidRPr="00D719A2">
              <w:rPr>
                <w:rFonts w:ascii="Times New Roman" w:hAnsi="Times New Roman"/>
                <w:sz w:val="20"/>
                <w:szCs w:val="20"/>
              </w:rPr>
              <w:t xml:space="preserve">- при подаче заявлений через ЕПГУ заявитель в качестве места получения муниципальной услуги чаще всего указывает Администрацию города Когалыма. </w:t>
            </w:r>
            <w:proofErr w:type="gramStart"/>
            <w:r w:rsidRPr="00D719A2">
              <w:rPr>
                <w:rFonts w:ascii="Times New Roman" w:hAnsi="Times New Roman"/>
                <w:sz w:val="20"/>
                <w:szCs w:val="20"/>
              </w:rPr>
              <w:t>Согласно методики</w:t>
            </w:r>
            <w:proofErr w:type="gramEnd"/>
            <w:r w:rsidRPr="00D719A2">
              <w:rPr>
                <w:rFonts w:ascii="Times New Roman" w:hAnsi="Times New Roman"/>
                <w:sz w:val="20"/>
                <w:szCs w:val="20"/>
              </w:rPr>
              <w:t xml:space="preserve"> расчёта данного показателя, считаются услуги, выданные через ЕПГУ (в случае если заявитель указывает это при подаче заявления).</w:t>
            </w:r>
          </w:p>
        </w:tc>
      </w:tr>
    </w:tbl>
    <w:p w:rsidR="008F3A61" w:rsidRPr="00FA26FF" w:rsidRDefault="008F3A61" w:rsidP="008F3A61">
      <w:pPr>
        <w:spacing w:after="0" w:line="240" w:lineRule="auto"/>
        <w:ind w:firstLine="708"/>
        <w:rPr>
          <w:rStyle w:val="A30"/>
          <w:rFonts w:ascii="Times New Roman" w:hAnsi="Times New Roman" w:cs="Times New Roman"/>
          <w:b w:val="0"/>
          <w:sz w:val="26"/>
          <w:szCs w:val="26"/>
        </w:rPr>
      </w:pPr>
      <w:r w:rsidRPr="00FA26FF">
        <w:rPr>
          <w:rStyle w:val="A30"/>
          <w:rFonts w:ascii="Times New Roman" w:hAnsi="Times New Roman" w:cs="Times New Roman"/>
          <w:b w:val="0"/>
          <w:sz w:val="26"/>
          <w:szCs w:val="26"/>
        </w:rPr>
        <w:t>«Подключение (технологическое присоединение) к сетям теплоснабжения, водоснабжения и водоотведения»</w:t>
      </w:r>
    </w:p>
    <w:p w:rsidR="008F3A61" w:rsidRPr="00FA26FF" w:rsidRDefault="008F3A61" w:rsidP="008F3A61">
      <w:pPr>
        <w:spacing w:after="0" w:line="240" w:lineRule="auto"/>
        <w:ind w:firstLine="709"/>
        <w:jc w:val="both"/>
        <w:rPr>
          <w:rFonts w:ascii="Times New Roman" w:hAnsi="Times New Roman"/>
          <w:b/>
          <w:sz w:val="24"/>
          <w:szCs w:val="24"/>
        </w:rPr>
      </w:pPr>
      <w:r w:rsidRPr="00FA26FF">
        <w:rPr>
          <w:rFonts w:ascii="Times New Roman" w:hAnsi="Times New Roman"/>
          <w:b/>
          <w:sz w:val="24"/>
          <w:szCs w:val="24"/>
        </w:rPr>
        <w:t xml:space="preserve">Мероприятия </w:t>
      </w:r>
    </w:p>
    <w:tbl>
      <w:tblPr>
        <w:tblStyle w:val="a5"/>
        <w:tblW w:w="10670" w:type="dxa"/>
        <w:tblLayout w:type="fixed"/>
        <w:tblLook w:val="04A0" w:firstRow="1" w:lastRow="0" w:firstColumn="1" w:lastColumn="0" w:noHBand="0" w:noVBand="1"/>
      </w:tblPr>
      <w:tblGrid>
        <w:gridCol w:w="1101"/>
        <w:gridCol w:w="3827"/>
        <w:gridCol w:w="5742"/>
      </w:tblGrid>
      <w:tr w:rsidR="008F3A61" w:rsidRPr="00221360" w:rsidTr="00262EAB">
        <w:trPr>
          <w:trHeight w:val="1800"/>
        </w:trPr>
        <w:tc>
          <w:tcPr>
            <w:tcW w:w="1101" w:type="dxa"/>
            <w:noWrap/>
            <w:vAlign w:val="center"/>
            <w:hideMark/>
          </w:tcPr>
          <w:p w:rsidR="008F3A61" w:rsidRPr="00221360" w:rsidRDefault="008F3A61" w:rsidP="00262EAB">
            <w:pPr>
              <w:jc w:val="center"/>
              <w:rPr>
                <w:rFonts w:ascii="Times New Roman" w:hAnsi="Times New Roman"/>
                <w:b/>
                <w:bCs/>
                <w:sz w:val="20"/>
                <w:szCs w:val="20"/>
              </w:rPr>
            </w:pPr>
            <w:r w:rsidRPr="00221360">
              <w:rPr>
                <w:rFonts w:ascii="Times New Roman" w:hAnsi="Times New Roman"/>
                <w:b/>
                <w:bCs/>
                <w:sz w:val="20"/>
                <w:szCs w:val="20"/>
              </w:rPr>
              <w:t>1</w:t>
            </w:r>
          </w:p>
        </w:tc>
        <w:tc>
          <w:tcPr>
            <w:tcW w:w="3827" w:type="dxa"/>
            <w:hideMark/>
          </w:tcPr>
          <w:p w:rsidR="008F3A61" w:rsidRPr="00221360" w:rsidRDefault="008F3A61" w:rsidP="00262EAB">
            <w:pPr>
              <w:jc w:val="both"/>
              <w:rPr>
                <w:rFonts w:ascii="Times New Roman" w:hAnsi="Times New Roman"/>
                <w:sz w:val="20"/>
                <w:szCs w:val="20"/>
              </w:rPr>
            </w:pPr>
            <w:r w:rsidRPr="00221360">
              <w:rPr>
                <w:rFonts w:ascii="Times New Roman" w:hAnsi="Times New Roman"/>
                <w:sz w:val="20"/>
                <w:szCs w:val="20"/>
              </w:rPr>
              <w:t>Организация размещения на сайтах муниципальных образований гиперссылок на интерактивную карту ГИС ТПС отображающую информацию ориентировочного места подключения (технологического присоединения) к сетям теплоснабжения, водоснабжения и водоотведения.</w:t>
            </w:r>
          </w:p>
        </w:tc>
        <w:tc>
          <w:tcPr>
            <w:tcW w:w="5742" w:type="dxa"/>
            <w:vAlign w:val="center"/>
            <w:hideMark/>
          </w:tcPr>
          <w:p w:rsidR="008F3A61" w:rsidRPr="00221360" w:rsidRDefault="008F3A61" w:rsidP="00262EAB">
            <w:pPr>
              <w:jc w:val="both"/>
              <w:rPr>
                <w:rFonts w:ascii="Times New Roman" w:hAnsi="Times New Roman"/>
                <w:sz w:val="20"/>
                <w:szCs w:val="20"/>
              </w:rPr>
            </w:pPr>
            <w:proofErr w:type="spellStart"/>
            <w:r w:rsidRPr="00221360">
              <w:rPr>
                <w:rFonts w:ascii="Times New Roman" w:hAnsi="Times New Roman"/>
                <w:sz w:val="20"/>
                <w:szCs w:val="20"/>
              </w:rPr>
              <w:t>ДепЖКК</w:t>
            </w:r>
            <w:proofErr w:type="spellEnd"/>
            <w:r w:rsidRPr="00221360">
              <w:rPr>
                <w:rFonts w:ascii="Times New Roman" w:hAnsi="Times New Roman"/>
                <w:sz w:val="20"/>
                <w:szCs w:val="20"/>
              </w:rPr>
              <w:t xml:space="preserve"> и энергетики ХМАО-Югры реализует на уровне округа проект «Создание государственной автоматизированной информационной системы «Технологическое присоединение к инженерным сетям» (АИС ТПС). Исполнение мероприятия после получения доступа к АИС ТПС от Департамента ЖКК и энергетики ХМАО-Югры</w:t>
            </w:r>
          </w:p>
        </w:tc>
      </w:tr>
      <w:tr w:rsidR="008F3A61" w:rsidRPr="00221360" w:rsidTr="00262EAB">
        <w:trPr>
          <w:trHeight w:val="1800"/>
        </w:trPr>
        <w:tc>
          <w:tcPr>
            <w:tcW w:w="1101" w:type="dxa"/>
            <w:noWrap/>
            <w:hideMark/>
          </w:tcPr>
          <w:p w:rsidR="008F3A61" w:rsidRPr="00221360" w:rsidRDefault="008F3A61" w:rsidP="00262EAB">
            <w:pPr>
              <w:jc w:val="center"/>
              <w:rPr>
                <w:rFonts w:ascii="Times New Roman" w:hAnsi="Times New Roman"/>
                <w:b/>
                <w:bCs/>
                <w:sz w:val="20"/>
                <w:szCs w:val="20"/>
              </w:rPr>
            </w:pPr>
            <w:r w:rsidRPr="00221360">
              <w:rPr>
                <w:rFonts w:ascii="Times New Roman" w:hAnsi="Times New Roman"/>
                <w:b/>
                <w:bCs/>
                <w:sz w:val="20"/>
                <w:szCs w:val="20"/>
              </w:rPr>
              <w:lastRenderedPageBreak/>
              <w:t>5</w:t>
            </w:r>
          </w:p>
        </w:tc>
        <w:tc>
          <w:tcPr>
            <w:tcW w:w="3827" w:type="dxa"/>
            <w:hideMark/>
          </w:tcPr>
          <w:p w:rsidR="008F3A61" w:rsidRPr="00221360" w:rsidRDefault="008F3A61" w:rsidP="00262EAB">
            <w:pPr>
              <w:jc w:val="both"/>
              <w:rPr>
                <w:rFonts w:ascii="Times New Roman" w:hAnsi="Times New Roman"/>
                <w:sz w:val="20"/>
                <w:szCs w:val="20"/>
              </w:rPr>
            </w:pPr>
            <w:r w:rsidRPr="00221360">
              <w:rPr>
                <w:rFonts w:ascii="Times New Roman" w:hAnsi="Times New Roman"/>
                <w:sz w:val="20"/>
                <w:szCs w:val="20"/>
              </w:rPr>
              <w:t xml:space="preserve">Организация размещения на сайтах </w:t>
            </w:r>
            <w:proofErr w:type="spellStart"/>
            <w:r w:rsidRPr="00221360">
              <w:rPr>
                <w:rFonts w:ascii="Times New Roman" w:hAnsi="Times New Roman"/>
                <w:sz w:val="20"/>
                <w:szCs w:val="20"/>
              </w:rPr>
              <w:t>ДепЖКК</w:t>
            </w:r>
            <w:proofErr w:type="spellEnd"/>
            <w:r w:rsidRPr="00221360">
              <w:rPr>
                <w:rFonts w:ascii="Times New Roman" w:hAnsi="Times New Roman"/>
                <w:sz w:val="20"/>
                <w:szCs w:val="20"/>
              </w:rPr>
              <w:t xml:space="preserve"> и энергетики Югры и РСО гиперссылок </w:t>
            </w:r>
            <w:proofErr w:type="gramStart"/>
            <w:r w:rsidRPr="00221360">
              <w:rPr>
                <w:rFonts w:ascii="Times New Roman" w:hAnsi="Times New Roman"/>
                <w:sz w:val="20"/>
                <w:szCs w:val="20"/>
              </w:rPr>
              <w:t>на</w:t>
            </w:r>
            <w:proofErr w:type="gramEnd"/>
            <w:r w:rsidRPr="00221360">
              <w:rPr>
                <w:rFonts w:ascii="Times New Roman" w:hAnsi="Times New Roman"/>
                <w:sz w:val="20"/>
                <w:szCs w:val="20"/>
              </w:rPr>
              <w:t xml:space="preserve"> </w:t>
            </w:r>
            <w:proofErr w:type="gramStart"/>
            <w:r w:rsidRPr="00221360">
              <w:rPr>
                <w:rFonts w:ascii="Times New Roman" w:hAnsi="Times New Roman"/>
                <w:sz w:val="20"/>
                <w:szCs w:val="20"/>
              </w:rPr>
              <w:t>калькулятор</w:t>
            </w:r>
            <w:proofErr w:type="gramEnd"/>
            <w:r w:rsidRPr="00221360">
              <w:rPr>
                <w:rFonts w:ascii="Times New Roman" w:hAnsi="Times New Roman"/>
                <w:sz w:val="20"/>
                <w:szCs w:val="20"/>
              </w:rPr>
              <w:t xml:space="preserve"> услуг ГИС ТПС, позволяющего рассчитать ориентировочную плату за подключение, исходя из определенной точки подключения и с учётом нагрузки заявителя</w:t>
            </w:r>
          </w:p>
        </w:tc>
        <w:tc>
          <w:tcPr>
            <w:tcW w:w="5742" w:type="dxa"/>
            <w:hideMark/>
          </w:tcPr>
          <w:p w:rsidR="008F3A61" w:rsidRPr="00221360" w:rsidRDefault="008F3A61" w:rsidP="00262EAB">
            <w:pPr>
              <w:jc w:val="both"/>
              <w:rPr>
                <w:rFonts w:ascii="Times New Roman" w:hAnsi="Times New Roman"/>
                <w:sz w:val="20"/>
                <w:szCs w:val="20"/>
              </w:rPr>
            </w:pPr>
            <w:proofErr w:type="spellStart"/>
            <w:r w:rsidRPr="00221360">
              <w:rPr>
                <w:rFonts w:ascii="Times New Roman" w:hAnsi="Times New Roman"/>
                <w:sz w:val="20"/>
                <w:szCs w:val="20"/>
              </w:rPr>
              <w:t>ДепЖКК</w:t>
            </w:r>
            <w:proofErr w:type="spellEnd"/>
            <w:r w:rsidRPr="00221360">
              <w:rPr>
                <w:rFonts w:ascii="Times New Roman" w:hAnsi="Times New Roman"/>
                <w:sz w:val="20"/>
                <w:szCs w:val="20"/>
              </w:rPr>
              <w:t xml:space="preserve"> и энергетики ХМАО-Югры реализует на уровне округа портфель проектов «Создание государственной автоматизированной информационной системы «Технологическое присоединение к инженерным сетям» (АИС ТПС). Исполнение мероприятия после получения доступа к АИС ТПС от Департамента ЖКК и энергетики ХМАО-Югры</w:t>
            </w:r>
          </w:p>
        </w:tc>
      </w:tr>
    </w:tbl>
    <w:p w:rsidR="008F3A61" w:rsidRPr="00FA26FF" w:rsidRDefault="008F3A61" w:rsidP="008F3A61">
      <w:pPr>
        <w:spacing w:after="0" w:line="240" w:lineRule="auto"/>
        <w:ind w:firstLine="708"/>
        <w:jc w:val="both"/>
        <w:rPr>
          <w:rStyle w:val="A30"/>
          <w:rFonts w:ascii="Times New Roman" w:hAnsi="Times New Roman" w:cs="Times New Roman"/>
          <w:b w:val="0"/>
          <w:sz w:val="26"/>
          <w:szCs w:val="26"/>
        </w:rPr>
      </w:pPr>
      <w:r w:rsidRPr="003502C9">
        <w:rPr>
          <w:rStyle w:val="A30"/>
          <w:rFonts w:ascii="Times New Roman" w:hAnsi="Times New Roman" w:cs="Times New Roman"/>
          <w:sz w:val="26"/>
          <w:szCs w:val="26"/>
        </w:rPr>
        <w:t>«</w:t>
      </w:r>
      <w:r w:rsidRPr="00FA26FF">
        <w:rPr>
          <w:rStyle w:val="A30"/>
          <w:rFonts w:ascii="Times New Roman" w:hAnsi="Times New Roman" w:cs="Times New Roman"/>
          <w:b w:val="0"/>
          <w:sz w:val="26"/>
          <w:szCs w:val="26"/>
        </w:rPr>
        <w:t>Постановка на кадастровый учет земельных участков и объектов недвижимого имущества»</w:t>
      </w:r>
    </w:p>
    <w:p w:rsidR="008F3A61" w:rsidRPr="00FA26FF" w:rsidRDefault="008F3A61" w:rsidP="008F3A61">
      <w:pPr>
        <w:spacing w:after="0" w:line="240" w:lineRule="auto"/>
        <w:ind w:firstLine="708"/>
        <w:rPr>
          <w:rStyle w:val="A30"/>
          <w:rFonts w:ascii="Times New Roman" w:hAnsi="Times New Roman" w:cs="Times New Roman"/>
          <w:b w:val="0"/>
          <w:sz w:val="26"/>
          <w:szCs w:val="26"/>
        </w:rPr>
      </w:pPr>
      <w:r w:rsidRPr="00FA26FF">
        <w:rPr>
          <w:rStyle w:val="A30"/>
          <w:rFonts w:ascii="Times New Roman" w:hAnsi="Times New Roman" w:cs="Times New Roman"/>
          <w:b w:val="0"/>
          <w:sz w:val="26"/>
          <w:szCs w:val="26"/>
        </w:rPr>
        <w:t>Показатель</w:t>
      </w:r>
    </w:p>
    <w:tbl>
      <w:tblPr>
        <w:tblStyle w:val="a5"/>
        <w:tblW w:w="10926" w:type="dxa"/>
        <w:tblInd w:w="108" w:type="dxa"/>
        <w:tblLook w:val="04A0" w:firstRow="1" w:lastRow="0" w:firstColumn="1" w:lastColumn="0" w:noHBand="0" w:noVBand="1"/>
      </w:tblPr>
      <w:tblGrid>
        <w:gridCol w:w="1540"/>
        <w:gridCol w:w="4567"/>
        <w:gridCol w:w="4819"/>
      </w:tblGrid>
      <w:tr w:rsidR="008F3A61" w:rsidRPr="00221360" w:rsidTr="00262EAB">
        <w:trPr>
          <w:trHeight w:val="2424"/>
        </w:trPr>
        <w:tc>
          <w:tcPr>
            <w:tcW w:w="1540" w:type="dxa"/>
            <w:noWrap/>
            <w:hideMark/>
          </w:tcPr>
          <w:p w:rsidR="008F3A61" w:rsidRPr="00221360" w:rsidRDefault="008F3A61" w:rsidP="00262EAB">
            <w:pPr>
              <w:jc w:val="both"/>
              <w:rPr>
                <w:rFonts w:ascii="Times New Roman" w:hAnsi="Times New Roman"/>
                <w:sz w:val="20"/>
                <w:szCs w:val="20"/>
              </w:rPr>
            </w:pPr>
            <w:r w:rsidRPr="00221360">
              <w:rPr>
                <w:rFonts w:ascii="Times New Roman" w:hAnsi="Times New Roman"/>
                <w:sz w:val="20"/>
                <w:szCs w:val="20"/>
              </w:rPr>
              <w:t>1.4.4.</w:t>
            </w:r>
          </w:p>
        </w:tc>
        <w:tc>
          <w:tcPr>
            <w:tcW w:w="4567" w:type="dxa"/>
            <w:hideMark/>
          </w:tcPr>
          <w:p w:rsidR="008F3A61" w:rsidRPr="00221360" w:rsidRDefault="008F3A61" w:rsidP="00262EAB">
            <w:pPr>
              <w:jc w:val="both"/>
              <w:rPr>
                <w:rFonts w:ascii="Times New Roman" w:hAnsi="Times New Roman"/>
                <w:sz w:val="20"/>
                <w:szCs w:val="20"/>
              </w:rPr>
            </w:pPr>
            <w:r w:rsidRPr="00221360">
              <w:rPr>
                <w:rFonts w:ascii="Times New Roman" w:hAnsi="Times New Roman"/>
                <w:sz w:val="20"/>
                <w:szCs w:val="20"/>
              </w:rPr>
              <w:t xml:space="preserve">Доля населенных пунктов субъекта Российской Федерации, </w:t>
            </w:r>
            <w:proofErr w:type="gramStart"/>
            <w:r w:rsidRPr="00221360">
              <w:rPr>
                <w:rFonts w:ascii="Times New Roman" w:hAnsi="Times New Roman"/>
                <w:sz w:val="20"/>
                <w:szCs w:val="20"/>
              </w:rPr>
              <w:t>сведения</w:t>
            </w:r>
            <w:proofErr w:type="gramEnd"/>
            <w:r w:rsidRPr="00221360">
              <w:rPr>
                <w:rFonts w:ascii="Times New Roman" w:hAnsi="Times New Roman"/>
                <w:sz w:val="20"/>
                <w:szCs w:val="20"/>
              </w:rPr>
              <w:t xml:space="preserve"> о границах которых внесены в Единый государственный реестр недвижимости, в общем количестве населенных пунктов субъекта Российской Федерации.</w:t>
            </w:r>
          </w:p>
        </w:tc>
        <w:tc>
          <w:tcPr>
            <w:tcW w:w="4819" w:type="dxa"/>
            <w:hideMark/>
          </w:tcPr>
          <w:p w:rsidR="008F3A61" w:rsidRPr="00221360" w:rsidRDefault="008F3A61" w:rsidP="00262EAB">
            <w:pPr>
              <w:jc w:val="both"/>
              <w:rPr>
                <w:rFonts w:ascii="Times New Roman" w:hAnsi="Times New Roman"/>
                <w:sz w:val="20"/>
                <w:szCs w:val="20"/>
              </w:rPr>
            </w:pPr>
            <w:r w:rsidRPr="00221360">
              <w:rPr>
                <w:rFonts w:ascii="Times New Roman" w:hAnsi="Times New Roman"/>
                <w:sz w:val="20"/>
                <w:szCs w:val="20"/>
              </w:rPr>
              <w:t xml:space="preserve">В настоящее время готовится документация для проведения электронного аукциона в целях внесения изменений в генеральный план города Когалыма. В рамках данных работ будут определены границы населенных пунктов в координатном описании и внесена информация в ЕГРН. Ориентировочный срок утверждения изменений в генеральном плане города Когалыма - I квартал 2018 года. Также разработан план мероприятий по внесению в ЕГРН сведений о границах земельных участков. План направлен в </w:t>
            </w:r>
            <w:proofErr w:type="spellStart"/>
            <w:r w:rsidRPr="00221360">
              <w:rPr>
                <w:rFonts w:ascii="Times New Roman" w:hAnsi="Times New Roman"/>
                <w:sz w:val="20"/>
                <w:szCs w:val="20"/>
              </w:rPr>
              <w:t>Депимущества</w:t>
            </w:r>
            <w:proofErr w:type="spellEnd"/>
            <w:r w:rsidRPr="00221360">
              <w:rPr>
                <w:rFonts w:ascii="Times New Roman" w:hAnsi="Times New Roman"/>
                <w:sz w:val="20"/>
                <w:szCs w:val="20"/>
              </w:rPr>
              <w:t>.</w:t>
            </w:r>
          </w:p>
        </w:tc>
      </w:tr>
    </w:tbl>
    <w:p w:rsidR="008F3A61" w:rsidRDefault="008F3A61" w:rsidP="008F3A61">
      <w:pPr>
        <w:spacing w:after="0" w:line="240" w:lineRule="auto"/>
        <w:jc w:val="both"/>
        <w:rPr>
          <w:rFonts w:ascii="Times New Roman" w:hAnsi="Times New Roman"/>
          <w:sz w:val="26"/>
          <w:szCs w:val="26"/>
        </w:rPr>
      </w:pPr>
    </w:p>
    <w:p w:rsidR="008F3A61" w:rsidRPr="00FA26FF" w:rsidRDefault="008F3A61" w:rsidP="008F3A61">
      <w:pPr>
        <w:spacing w:after="0" w:line="240" w:lineRule="auto"/>
        <w:ind w:firstLine="709"/>
        <w:jc w:val="both"/>
        <w:rPr>
          <w:rFonts w:ascii="Times New Roman" w:hAnsi="Times New Roman"/>
          <w:sz w:val="26"/>
          <w:szCs w:val="26"/>
        </w:rPr>
      </w:pPr>
      <w:r w:rsidRPr="00FA26FF">
        <w:rPr>
          <w:rFonts w:ascii="Times New Roman" w:hAnsi="Times New Roman"/>
          <w:sz w:val="26"/>
          <w:szCs w:val="26"/>
        </w:rPr>
        <w:t xml:space="preserve">Показатели, по которым имеется риск </w:t>
      </w:r>
      <w:proofErr w:type="gramStart"/>
      <w:r w:rsidRPr="00FA26FF">
        <w:rPr>
          <w:rFonts w:ascii="Times New Roman" w:hAnsi="Times New Roman"/>
          <w:sz w:val="26"/>
          <w:szCs w:val="26"/>
        </w:rPr>
        <w:t>не достижения</w:t>
      </w:r>
      <w:proofErr w:type="gramEnd"/>
      <w:r w:rsidRPr="00FA26FF">
        <w:rPr>
          <w:rFonts w:ascii="Times New Roman" w:hAnsi="Times New Roman"/>
          <w:sz w:val="26"/>
          <w:szCs w:val="26"/>
        </w:rPr>
        <w:t xml:space="preserve"> на 31.12.2017:</w:t>
      </w:r>
    </w:p>
    <w:p w:rsidR="008F3A61" w:rsidRPr="00FA26FF" w:rsidRDefault="008F3A61" w:rsidP="008F3A61">
      <w:pPr>
        <w:spacing w:after="0" w:line="240" w:lineRule="auto"/>
        <w:jc w:val="both"/>
        <w:rPr>
          <w:rStyle w:val="A30"/>
          <w:rFonts w:ascii="Times New Roman" w:hAnsi="Times New Roman" w:cs="Times New Roman"/>
          <w:b w:val="0"/>
          <w:sz w:val="26"/>
          <w:szCs w:val="26"/>
        </w:rPr>
      </w:pPr>
      <w:r w:rsidRPr="00FA26FF">
        <w:rPr>
          <w:rStyle w:val="A30"/>
          <w:rFonts w:ascii="Times New Roman" w:hAnsi="Times New Roman" w:cs="Times New Roman"/>
          <w:b w:val="0"/>
          <w:sz w:val="26"/>
          <w:szCs w:val="26"/>
        </w:rPr>
        <w:t>«Постановка на кадастровый учет земельных участков и объектов недвижимого имущества»</w:t>
      </w:r>
    </w:p>
    <w:tbl>
      <w:tblPr>
        <w:tblStyle w:val="a5"/>
        <w:tblW w:w="10490" w:type="dxa"/>
        <w:tblInd w:w="-34" w:type="dxa"/>
        <w:tblLook w:val="04A0" w:firstRow="1" w:lastRow="0" w:firstColumn="1" w:lastColumn="0" w:noHBand="0" w:noVBand="1"/>
      </w:tblPr>
      <w:tblGrid>
        <w:gridCol w:w="853"/>
        <w:gridCol w:w="3117"/>
        <w:gridCol w:w="6520"/>
      </w:tblGrid>
      <w:tr w:rsidR="008F3A61" w:rsidRPr="00286410" w:rsidTr="00262EAB">
        <w:trPr>
          <w:trHeight w:val="2050"/>
        </w:trPr>
        <w:tc>
          <w:tcPr>
            <w:tcW w:w="853" w:type="dxa"/>
            <w:noWrap/>
            <w:hideMark/>
          </w:tcPr>
          <w:p w:rsidR="008F3A61" w:rsidRPr="00286410" w:rsidRDefault="008F3A61" w:rsidP="00262EAB">
            <w:pPr>
              <w:jc w:val="both"/>
              <w:rPr>
                <w:rFonts w:ascii="Times New Roman" w:hAnsi="Times New Roman"/>
                <w:sz w:val="20"/>
                <w:szCs w:val="20"/>
              </w:rPr>
            </w:pPr>
            <w:r w:rsidRPr="00286410">
              <w:rPr>
                <w:rFonts w:ascii="Times New Roman" w:hAnsi="Times New Roman"/>
                <w:sz w:val="20"/>
                <w:szCs w:val="20"/>
              </w:rPr>
              <w:t>1.4.4.</w:t>
            </w:r>
          </w:p>
        </w:tc>
        <w:tc>
          <w:tcPr>
            <w:tcW w:w="3117" w:type="dxa"/>
            <w:hideMark/>
          </w:tcPr>
          <w:p w:rsidR="008F3A61" w:rsidRPr="00286410" w:rsidRDefault="008F3A61" w:rsidP="00262EAB">
            <w:pPr>
              <w:jc w:val="both"/>
              <w:rPr>
                <w:rFonts w:ascii="Times New Roman" w:hAnsi="Times New Roman"/>
                <w:sz w:val="20"/>
                <w:szCs w:val="20"/>
              </w:rPr>
            </w:pPr>
            <w:r w:rsidRPr="00286410">
              <w:rPr>
                <w:rFonts w:ascii="Times New Roman" w:hAnsi="Times New Roman"/>
                <w:sz w:val="20"/>
                <w:szCs w:val="20"/>
              </w:rPr>
              <w:t xml:space="preserve">Доля населенных пунктов субъекта Российской Федерации, </w:t>
            </w:r>
            <w:proofErr w:type="gramStart"/>
            <w:r w:rsidRPr="00286410">
              <w:rPr>
                <w:rFonts w:ascii="Times New Roman" w:hAnsi="Times New Roman"/>
                <w:sz w:val="20"/>
                <w:szCs w:val="20"/>
              </w:rPr>
              <w:t>сведения</w:t>
            </w:r>
            <w:proofErr w:type="gramEnd"/>
            <w:r w:rsidRPr="00286410">
              <w:rPr>
                <w:rFonts w:ascii="Times New Roman" w:hAnsi="Times New Roman"/>
                <w:sz w:val="20"/>
                <w:szCs w:val="20"/>
              </w:rPr>
              <w:t xml:space="preserve"> о границах которых внесены в Единый государственный реестр недвижимости, в общем количестве населенных пунктов субъекта Российской Федерации.</w:t>
            </w:r>
          </w:p>
        </w:tc>
        <w:tc>
          <w:tcPr>
            <w:tcW w:w="6520" w:type="dxa"/>
            <w:hideMark/>
          </w:tcPr>
          <w:p w:rsidR="008F3A61" w:rsidRPr="00286410" w:rsidRDefault="008F3A61" w:rsidP="00262EAB">
            <w:pPr>
              <w:jc w:val="both"/>
              <w:rPr>
                <w:rFonts w:ascii="Times New Roman" w:hAnsi="Times New Roman"/>
                <w:sz w:val="20"/>
                <w:szCs w:val="20"/>
              </w:rPr>
            </w:pPr>
            <w:r w:rsidRPr="00286410">
              <w:rPr>
                <w:rFonts w:ascii="Times New Roman" w:hAnsi="Times New Roman"/>
                <w:sz w:val="20"/>
                <w:szCs w:val="20"/>
              </w:rPr>
              <w:t xml:space="preserve">В настоящее время готовится документация для проведения электронного аукциона в целях внесения изменений в генеральный план города Когалыма. В рамках данных работ будут определены границы населенных пунктов в координатном описании и внесена информация в ЕГРН. Ориентировочный срок утверждения изменений в генеральном плане города Когалыма - I квартал 2018 года. Также разработан план мероприятий по внесению в ЕГРН сведений о границах земельных участков. План направлен в </w:t>
            </w:r>
            <w:proofErr w:type="spellStart"/>
            <w:r w:rsidRPr="00286410">
              <w:rPr>
                <w:rFonts w:ascii="Times New Roman" w:hAnsi="Times New Roman"/>
                <w:sz w:val="20"/>
                <w:szCs w:val="20"/>
              </w:rPr>
              <w:t>Депимущества</w:t>
            </w:r>
            <w:proofErr w:type="spellEnd"/>
            <w:r w:rsidRPr="00286410">
              <w:rPr>
                <w:rFonts w:ascii="Times New Roman" w:hAnsi="Times New Roman"/>
                <w:sz w:val="20"/>
                <w:szCs w:val="20"/>
              </w:rPr>
              <w:t>.</w:t>
            </w:r>
          </w:p>
        </w:tc>
      </w:tr>
    </w:tbl>
    <w:p w:rsidR="008F3A61" w:rsidRPr="003502C9" w:rsidRDefault="008F3A61" w:rsidP="008F3A61">
      <w:pPr>
        <w:pStyle w:val="a3"/>
        <w:spacing w:after="0" w:line="240" w:lineRule="auto"/>
        <w:ind w:left="0"/>
        <w:jc w:val="both"/>
        <w:rPr>
          <w:rFonts w:ascii="Times New Roman" w:hAnsi="Times New Roman"/>
          <w:sz w:val="26"/>
          <w:szCs w:val="26"/>
        </w:rPr>
      </w:pPr>
      <w:r w:rsidRPr="003502C9">
        <w:rPr>
          <w:rFonts w:ascii="Times New Roman" w:hAnsi="Times New Roman"/>
          <w:sz w:val="26"/>
          <w:szCs w:val="26"/>
        </w:rPr>
        <w:t>«Получение разрешения на строительство и территориальное планирование»</w:t>
      </w:r>
    </w:p>
    <w:tbl>
      <w:tblPr>
        <w:tblStyle w:val="a5"/>
        <w:tblW w:w="10456" w:type="dxa"/>
        <w:tblLayout w:type="fixed"/>
        <w:tblLook w:val="04A0" w:firstRow="1" w:lastRow="0" w:firstColumn="1" w:lastColumn="0" w:noHBand="0" w:noVBand="1"/>
      </w:tblPr>
      <w:tblGrid>
        <w:gridCol w:w="817"/>
        <w:gridCol w:w="3119"/>
        <w:gridCol w:w="6520"/>
      </w:tblGrid>
      <w:tr w:rsidR="008F3A61" w:rsidRPr="00F73768" w:rsidTr="00262EAB">
        <w:trPr>
          <w:trHeight w:val="855"/>
        </w:trPr>
        <w:tc>
          <w:tcPr>
            <w:tcW w:w="817" w:type="dxa"/>
            <w:noWrap/>
            <w:vAlign w:val="center"/>
            <w:hideMark/>
          </w:tcPr>
          <w:p w:rsidR="008F3A61" w:rsidRPr="00F73768" w:rsidRDefault="008F3A61" w:rsidP="00262EAB">
            <w:pPr>
              <w:jc w:val="center"/>
              <w:rPr>
                <w:rFonts w:ascii="Times New Roman" w:hAnsi="Times New Roman"/>
                <w:b/>
                <w:bCs/>
                <w:sz w:val="20"/>
                <w:szCs w:val="20"/>
              </w:rPr>
            </w:pPr>
            <w:r w:rsidRPr="00F73768">
              <w:rPr>
                <w:rFonts w:ascii="Times New Roman" w:hAnsi="Times New Roman"/>
                <w:b/>
                <w:bCs/>
                <w:sz w:val="20"/>
                <w:szCs w:val="20"/>
              </w:rPr>
              <w:t>2.2.1.</w:t>
            </w:r>
          </w:p>
        </w:tc>
        <w:tc>
          <w:tcPr>
            <w:tcW w:w="3119" w:type="dxa"/>
            <w:hideMark/>
          </w:tcPr>
          <w:p w:rsidR="008F3A61" w:rsidRPr="00221360" w:rsidRDefault="008F3A61" w:rsidP="00262EAB">
            <w:pPr>
              <w:jc w:val="both"/>
              <w:rPr>
                <w:rFonts w:ascii="Times New Roman" w:hAnsi="Times New Roman"/>
                <w:sz w:val="20"/>
                <w:szCs w:val="20"/>
              </w:rPr>
            </w:pPr>
            <w:r w:rsidRPr="00221360">
              <w:rPr>
                <w:rFonts w:ascii="Times New Roman" w:hAnsi="Times New Roman"/>
                <w:sz w:val="20"/>
                <w:szCs w:val="20"/>
              </w:rPr>
              <w:t>Доля предоставленных услуг в электронном виде в общем количестве предоставленных услуг (ГПЗУ)</w:t>
            </w:r>
          </w:p>
        </w:tc>
        <w:tc>
          <w:tcPr>
            <w:tcW w:w="6520" w:type="dxa"/>
            <w:hideMark/>
          </w:tcPr>
          <w:p w:rsidR="008F3A61" w:rsidRPr="00E402A9" w:rsidRDefault="008F3A61" w:rsidP="00262EAB">
            <w:pPr>
              <w:jc w:val="both"/>
              <w:rPr>
                <w:rFonts w:ascii="Times New Roman" w:hAnsi="Times New Roman"/>
                <w:b/>
                <w:sz w:val="20"/>
                <w:szCs w:val="20"/>
              </w:rPr>
            </w:pPr>
            <w:r w:rsidRPr="00E402A9">
              <w:rPr>
                <w:rFonts w:ascii="Times New Roman" w:hAnsi="Times New Roman"/>
                <w:b/>
                <w:sz w:val="20"/>
                <w:szCs w:val="20"/>
              </w:rPr>
              <w:t>По состоянию на 24.11.2017 - 10% (7 услуг)</w:t>
            </w:r>
          </w:p>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В настоящее время в работе находится ещё 9 заявлений. До 05.12.2017 данный показатель будет составлять 20%.</w:t>
            </w:r>
          </w:p>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Основные проблемы:</w:t>
            </w:r>
          </w:p>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 xml:space="preserve">- значительное количество услуг оказывается для юридических лиц и ИП, которым при регистрации на Портале </w:t>
            </w:r>
            <w:proofErr w:type="spellStart"/>
            <w:r w:rsidRPr="00D719A2">
              <w:rPr>
                <w:rFonts w:ascii="Times New Roman" w:hAnsi="Times New Roman"/>
                <w:sz w:val="20"/>
                <w:szCs w:val="20"/>
              </w:rPr>
              <w:t>госуслуг</w:t>
            </w:r>
            <w:proofErr w:type="spellEnd"/>
            <w:r w:rsidRPr="00D719A2">
              <w:rPr>
                <w:rFonts w:ascii="Times New Roman" w:hAnsi="Times New Roman"/>
                <w:sz w:val="20"/>
                <w:szCs w:val="20"/>
              </w:rPr>
              <w:t xml:space="preserve"> необходимо получить электронную цифровую подпись, она является платной для заявителя, </w:t>
            </w:r>
            <w:proofErr w:type="gramStart"/>
            <w:r w:rsidRPr="00D719A2">
              <w:rPr>
                <w:rFonts w:ascii="Times New Roman" w:hAnsi="Times New Roman"/>
                <w:sz w:val="20"/>
                <w:szCs w:val="20"/>
              </w:rPr>
              <w:t>следовательно</w:t>
            </w:r>
            <w:proofErr w:type="gramEnd"/>
            <w:r w:rsidRPr="00D719A2">
              <w:rPr>
                <w:rFonts w:ascii="Times New Roman" w:hAnsi="Times New Roman"/>
                <w:sz w:val="20"/>
                <w:szCs w:val="20"/>
              </w:rPr>
              <w:t xml:space="preserve"> они  отказываются ее получать и теряют возможность подать заявление на получение ГПЗУ через ЕПГУ. </w:t>
            </w:r>
          </w:p>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 xml:space="preserve">- при подаче заявлений через ЕПГУ заявитель в качестве места получения муниципальной услуги чаще всего указывает Администрацию города Когалыма. </w:t>
            </w:r>
            <w:proofErr w:type="gramStart"/>
            <w:r w:rsidRPr="00D719A2">
              <w:rPr>
                <w:rFonts w:ascii="Times New Roman" w:hAnsi="Times New Roman"/>
                <w:sz w:val="20"/>
                <w:szCs w:val="20"/>
              </w:rPr>
              <w:t>Согласно методики</w:t>
            </w:r>
            <w:proofErr w:type="gramEnd"/>
            <w:r w:rsidRPr="00D719A2">
              <w:rPr>
                <w:rFonts w:ascii="Times New Roman" w:hAnsi="Times New Roman"/>
                <w:sz w:val="20"/>
                <w:szCs w:val="20"/>
              </w:rPr>
              <w:t xml:space="preserve"> расчёта данного показателя, считаются услуги, выданные через ЕПГУ (в случае если заявитель указывает это при подаче заявления).</w:t>
            </w:r>
          </w:p>
          <w:p w:rsidR="008F3A61" w:rsidRPr="00221360" w:rsidRDefault="008F3A61" w:rsidP="00262EAB">
            <w:pPr>
              <w:jc w:val="both"/>
              <w:rPr>
                <w:rFonts w:ascii="Times New Roman" w:hAnsi="Times New Roman"/>
                <w:sz w:val="20"/>
                <w:szCs w:val="20"/>
              </w:rPr>
            </w:pPr>
            <w:r w:rsidRPr="00D719A2">
              <w:rPr>
                <w:rFonts w:ascii="Times New Roman" w:hAnsi="Times New Roman"/>
                <w:sz w:val="20"/>
                <w:szCs w:val="20"/>
              </w:rPr>
              <w:t>При этом информационная компания по предоставлению услуг в электронном виде проводится в полной мере.</w:t>
            </w:r>
          </w:p>
        </w:tc>
      </w:tr>
      <w:tr w:rsidR="008F3A61" w:rsidRPr="00F73768" w:rsidTr="00262EAB">
        <w:trPr>
          <w:trHeight w:val="415"/>
        </w:trPr>
        <w:tc>
          <w:tcPr>
            <w:tcW w:w="817" w:type="dxa"/>
            <w:noWrap/>
            <w:hideMark/>
          </w:tcPr>
          <w:p w:rsidR="008F3A61" w:rsidRPr="00F73768" w:rsidRDefault="008F3A61" w:rsidP="00262EAB">
            <w:pPr>
              <w:jc w:val="center"/>
              <w:rPr>
                <w:rFonts w:ascii="Times New Roman" w:hAnsi="Times New Roman"/>
                <w:b/>
                <w:bCs/>
                <w:sz w:val="20"/>
                <w:szCs w:val="20"/>
              </w:rPr>
            </w:pPr>
            <w:r w:rsidRPr="00F73768">
              <w:rPr>
                <w:rFonts w:ascii="Times New Roman" w:hAnsi="Times New Roman"/>
                <w:b/>
                <w:bCs/>
                <w:sz w:val="20"/>
                <w:szCs w:val="20"/>
              </w:rPr>
              <w:t>5.2.1.</w:t>
            </w:r>
          </w:p>
        </w:tc>
        <w:tc>
          <w:tcPr>
            <w:tcW w:w="3119" w:type="dxa"/>
            <w:hideMark/>
          </w:tcPr>
          <w:p w:rsidR="008F3A61" w:rsidRPr="00F73768" w:rsidRDefault="008F3A61" w:rsidP="00262EAB">
            <w:pPr>
              <w:jc w:val="both"/>
              <w:rPr>
                <w:rFonts w:ascii="Times New Roman" w:hAnsi="Times New Roman"/>
                <w:sz w:val="20"/>
                <w:szCs w:val="20"/>
              </w:rPr>
            </w:pPr>
            <w:r w:rsidRPr="00F73768">
              <w:rPr>
                <w:rFonts w:ascii="Times New Roman" w:hAnsi="Times New Roman"/>
                <w:sz w:val="20"/>
                <w:szCs w:val="20"/>
              </w:rPr>
              <w:t>Доля услуг, предоставленных в электронном виде, в общем количестве предоставленных услуг (Получение разрешения на строительство)</w:t>
            </w:r>
          </w:p>
        </w:tc>
        <w:tc>
          <w:tcPr>
            <w:tcW w:w="6520" w:type="dxa"/>
            <w:hideMark/>
          </w:tcPr>
          <w:p w:rsidR="008F3A61" w:rsidRPr="00D719A2" w:rsidRDefault="008F3A61" w:rsidP="00262EAB">
            <w:pPr>
              <w:jc w:val="both"/>
              <w:rPr>
                <w:rFonts w:ascii="Times New Roman" w:hAnsi="Times New Roman"/>
                <w:b/>
                <w:sz w:val="20"/>
                <w:szCs w:val="20"/>
              </w:rPr>
            </w:pPr>
            <w:r w:rsidRPr="00D719A2">
              <w:rPr>
                <w:rFonts w:ascii="Times New Roman" w:hAnsi="Times New Roman"/>
                <w:b/>
                <w:sz w:val="20"/>
                <w:szCs w:val="20"/>
              </w:rPr>
              <w:t>По состоянию на 24.11.2017 - 17% (5 услуг)</w:t>
            </w:r>
          </w:p>
          <w:p w:rsidR="008F3A61" w:rsidRPr="00D719A2" w:rsidRDefault="008F3A61" w:rsidP="00262EAB">
            <w:pPr>
              <w:jc w:val="both"/>
              <w:rPr>
                <w:rFonts w:ascii="Times New Roman" w:hAnsi="Times New Roman"/>
                <w:sz w:val="20"/>
                <w:szCs w:val="20"/>
              </w:rPr>
            </w:pPr>
            <w:r w:rsidRPr="00F73768">
              <w:rPr>
                <w:rFonts w:ascii="Times New Roman" w:hAnsi="Times New Roman"/>
                <w:sz w:val="20"/>
                <w:szCs w:val="20"/>
              </w:rPr>
              <w:t xml:space="preserve"> </w:t>
            </w:r>
            <w:r w:rsidRPr="00D719A2">
              <w:rPr>
                <w:rFonts w:ascii="Times New Roman" w:hAnsi="Times New Roman"/>
                <w:sz w:val="20"/>
                <w:szCs w:val="20"/>
              </w:rPr>
              <w:t>Основные проблемы:</w:t>
            </w:r>
          </w:p>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 отсутствуют заявления, поданные через ЕПГУ, так проектная документация разрабатывается и предоставляется заявителю проектной организацией на бумажном носителе, что затрудняет прикрепление документов в личном кабинете на ЕПГУ. Дополнительное предоставление проектной документации в эл. виде заявителю является платной услугой, они отказываются ее получать, следовательно, теряют возможность подать заявление в эл. виде.</w:t>
            </w:r>
          </w:p>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 ограниченный объём прикрепляемой на портале информации (не более 5Мегабайт). Чаще всего разделы проектной документации имеют больший объём (7-12Мегабайт).</w:t>
            </w:r>
          </w:p>
          <w:p w:rsidR="008F3A61" w:rsidRPr="00D719A2" w:rsidRDefault="008F3A61" w:rsidP="00262EAB">
            <w:pPr>
              <w:jc w:val="both"/>
              <w:rPr>
                <w:rFonts w:ascii="Times New Roman" w:hAnsi="Times New Roman"/>
                <w:sz w:val="20"/>
                <w:szCs w:val="20"/>
              </w:rPr>
            </w:pPr>
            <w:r w:rsidRPr="00D719A2">
              <w:rPr>
                <w:rFonts w:ascii="Times New Roman" w:hAnsi="Times New Roman"/>
                <w:sz w:val="20"/>
                <w:szCs w:val="20"/>
              </w:rPr>
              <w:t xml:space="preserve">- - значительное количество услуг оказывается для юридических лиц и </w:t>
            </w:r>
            <w:r w:rsidRPr="00D719A2">
              <w:rPr>
                <w:rFonts w:ascii="Times New Roman" w:hAnsi="Times New Roman"/>
                <w:sz w:val="20"/>
                <w:szCs w:val="20"/>
              </w:rPr>
              <w:lastRenderedPageBreak/>
              <w:t xml:space="preserve">ИП, которым необходимо получить электронную цифровую подпись, она является платной для заявителя, </w:t>
            </w:r>
            <w:proofErr w:type="gramStart"/>
            <w:r w:rsidRPr="00D719A2">
              <w:rPr>
                <w:rFonts w:ascii="Times New Roman" w:hAnsi="Times New Roman"/>
                <w:sz w:val="20"/>
                <w:szCs w:val="20"/>
              </w:rPr>
              <w:t>следовательно</w:t>
            </w:r>
            <w:proofErr w:type="gramEnd"/>
            <w:r w:rsidRPr="00D719A2">
              <w:rPr>
                <w:rFonts w:ascii="Times New Roman" w:hAnsi="Times New Roman"/>
                <w:sz w:val="20"/>
                <w:szCs w:val="20"/>
              </w:rPr>
              <w:t xml:space="preserve"> они  отказываются ее получать и теряют возможность подать заявление на получение ГПЗУ через ЕПГУ. </w:t>
            </w:r>
          </w:p>
          <w:p w:rsidR="008F3A61" w:rsidRPr="00F73768" w:rsidRDefault="008F3A61" w:rsidP="00262EAB">
            <w:pPr>
              <w:jc w:val="both"/>
              <w:rPr>
                <w:rFonts w:ascii="Times New Roman" w:hAnsi="Times New Roman"/>
                <w:sz w:val="20"/>
                <w:szCs w:val="20"/>
              </w:rPr>
            </w:pPr>
            <w:r w:rsidRPr="00D719A2">
              <w:rPr>
                <w:rFonts w:ascii="Times New Roman" w:hAnsi="Times New Roman"/>
                <w:sz w:val="20"/>
                <w:szCs w:val="20"/>
              </w:rPr>
              <w:t xml:space="preserve">- при подаче заявлений через ЕПГУ заявитель в качестве места получения муниципальной услуги чаще всего указывает Администрацию города Когалыма. </w:t>
            </w:r>
            <w:proofErr w:type="gramStart"/>
            <w:r w:rsidRPr="00D719A2">
              <w:rPr>
                <w:rFonts w:ascii="Times New Roman" w:hAnsi="Times New Roman"/>
                <w:sz w:val="20"/>
                <w:szCs w:val="20"/>
              </w:rPr>
              <w:t>Согласно методики</w:t>
            </w:r>
            <w:proofErr w:type="gramEnd"/>
            <w:r w:rsidRPr="00D719A2">
              <w:rPr>
                <w:rFonts w:ascii="Times New Roman" w:hAnsi="Times New Roman"/>
                <w:sz w:val="20"/>
                <w:szCs w:val="20"/>
              </w:rPr>
              <w:t xml:space="preserve"> расчёта данного показателя, считаются услуги, выданные через ЕПГУ (в случае если заявитель указывает это при подаче заявления).</w:t>
            </w:r>
          </w:p>
        </w:tc>
      </w:tr>
    </w:tbl>
    <w:p w:rsidR="008F3A61" w:rsidRDefault="008F3A61" w:rsidP="008F3A61">
      <w:pPr>
        <w:spacing w:line="240" w:lineRule="auto"/>
        <w:rPr>
          <w:rFonts w:ascii="Times New Roman" w:hAnsi="Times New Roman"/>
          <w:sz w:val="26"/>
          <w:szCs w:val="26"/>
        </w:rPr>
      </w:pPr>
    </w:p>
    <w:p w:rsidR="008F3A61" w:rsidRDefault="008F3A61" w:rsidP="008F3A61">
      <w:pPr>
        <w:spacing w:line="240" w:lineRule="auto"/>
        <w:ind w:left="1416" w:firstLine="708"/>
        <w:rPr>
          <w:rFonts w:ascii="Times New Roman" w:hAnsi="Times New Roman"/>
          <w:sz w:val="26"/>
          <w:szCs w:val="26"/>
        </w:rPr>
        <w:sectPr w:rsidR="008F3A61" w:rsidSect="00DA4EF4">
          <w:pgSz w:w="11906" w:h="16838"/>
          <w:pgMar w:top="1134" w:right="850" w:bottom="426" w:left="709" w:header="708" w:footer="708" w:gutter="0"/>
          <w:cols w:space="708"/>
          <w:docGrid w:linePitch="360"/>
        </w:sectPr>
      </w:pPr>
    </w:p>
    <w:p w:rsidR="008F3A61" w:rsidRDefault="008F3A61" w:rsidP="008F3A61">
      <w:pPr>
        <w:spacing w:line="240" w:lineRule="auto"/>
        <w:ind w:left="1416" w:firstLine="708"/>
        <w:rPr>
          <w:rFonts w:ascii="Times New Roman" w:hAnsi="Times New Roman"/>
          <w:sz w:val="26"/>
          <w:szCs w:val="26"/>
        </w:rPr>
      </w:pPr>
      <w:proofErr w:type="spellStart"/>
      <w:r>
        <w:rPr>
          <w:rFonts w:ascii="Times New Roman" w:hAnsi="Times New Roman"/>
          <w:sz w:val="26"/>
          <w:szCs w:val="26"/>
        </w:rPr>
        <w:lastRenderedPageBreak/>
        <w:t>Справочно</w:t>
      </w:r>
      <w:proofErr w:type="spellEnd"/>
      <w:r>
        <w:rPr>
          <w:rFonts w:ascii="Times New Roman" w:hAnsi="Times New Roman"/>
          <w:sz w:val="26"/>
          <w:szCs w:val="26"/>
        </w:rPr>
        <w:t>:</w:t>
      </w:r>
    </w:p>
    <w:tbl>
      <w:tblPr>
        <w:tblStyle w:val="a5"/>
        <w:tblW w:w="14175" w:type="dxa"/>
        <w:tblInd w:w="1242" w:type="dxa"/>
        <w:tblLayout w:type="fixed"/>
        <w:tblLook w:val="04A0" w:firstRow="1" w:lastRow="0" w:firstColumn="1" w:lastColumn="0" w:noHBand="0" w:noVBand="1"/>
      </w:tblPr>
      <w:tblGrid>
        <w:gridCol w:w="3261"/>
        <w:gridCol w:w="1134"/>
        <w:gridCol w:w="1417"/>
        <w:gridCol w:w="1418"/>
        <w:gridCol w:w="1559"/>
        <w:gridCol w:w="1134"/>
        <w:gridCol w:w="1417"/>
        <w:gridCol w:w="142"/>
        <w:gridCol w:w="1276"/>
        <w:gridCol w:w="1417"/>
      </w:tblGrid>
      <w:tr w:rsidR="008F3A61" w:rsidRPr="00FA26FF" w:rsidTr="00262EAB">
        <w:tc>
          <w:tcPr>
            <w:tcW w:w="3261" w:type="dxa"/>
            <w:vMerge w:val="restart"/>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Наименование портфеля проектов</w:t>
            </w:r>
          </w:p>
        </w:tc>
        <w:tc>
          <w:tcPr>
            <w:tcW w:w="5528" w:type="dxa"/>
            <w:gridSpan w:val="4"/>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Мероприятия</w:t>
            </w:r>
          </w:p>
        </w:tc>
        <w:tc>
          <w:tcPr>
            <w:tcW w:w="5386" w:type="dxa"/>
            <w:gridSpan w:val="5"/>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Показатели</w:t>
            </w:r>
          </w:p>
        </w:tc>
      </w:tr>
      <w:tr w:rsidR="008F3A61" w:rsidRPr="00FA26FF" w:rsidTr="00262EAB">
        <w:tc>
          <w:tcPr>
            <w:tcW w:w="3261" w:type="dxa"/>
            <w:vMerge/>
          </w:tcPr>
          <w:p w:rsidR="008F3A61" w:rsidRPr="00FA26FF" w:rsidRDefault="008F3A61" w:rsidP="00262EAB">
            <w:pPr>
              <w:jc w:val="center"/>
              <w:rPr>
                <w:rFonts w:ascii="Times New Roman" w:hAnsi="Times New Roman" w:cs="Times New Roman"/>
                <w:b/>
              </w:rPr>
            </w:pPr>
          </w:p>
        </w:tc>
        <w:tc>
          <w:tcPr>
            <w:tcW w:w="1134" w:type="dxa"/>
            <w:vMerge w:val="restart"/>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Всего</w:t>
            </w:r>
          </w:p>
        </w:tc>
        <w:tc>
          <w:tcPr>
            <w:tcW w:w="1417" w:type="dxa"/>
            <w:vMerge w:val="restart"/>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Выполнено на 24.11.2017</w:t>
            </w:r>
          </w:p>
        </w:tc>
        <w:tc>
          <w:tcPr>
            <w:tcW w:w="2977" w:type="dxa"/>
            <w:gridSpan w:val="2"/>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Прогноз</w:t>
            </w:r>
          </w:p>
        </w:tc>
        <w:tc>
          <w:tcPr>
            <w:tcW w:w="1134" w:type="dxa"/>
            <w:vMerge w:val="restart"/>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Всего</w:t>
            </w:r>
          </w:p>
        </w:tc>
        <w:tc>
          <w:tcPr>
            <w:tcW w:w="1559" w:type="dxa"/>
            <w:gridSpan w:val="2"/>
            <w:vMerge w:val="restart"/>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Достигнуты на 24.11.2017</w:t>
            </w:r>
          </w:p>
        </w:tc>
        <w:tc>
          <w:tcPr>
            <w:tcW w:w="2693" w:type="dxa"/>
            <w:gridSpan w:val="2"/>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Прогноз</w:t>
            </w:r>
          </w:p>
        </w:tc>
      </w:tr>
      <w:tr w:rsidR="008F3A61" w:rsidRPr="00FA26FF" w:rsidTr="00262EAB">
        <w:trPr>
          <w:trHeight w:val="761"/>
        </w:trPr>
        <w:tc>
          <w:tcPr>
            <w:tcW w:w="3261" w:type="dxa"/>
            <w:vMerge/>
          </w:tcPr>
          <w:p w:rsidR="008F3A61" w:rsidRPr="00FA26FF" w:rsidRDefault="008F3A61" w:rsidP="00262EAB">
            <w:pPr>
              <w:jc w:val="center"/>
              <w:rPr>
                <w:rFonts w:ascii="Times New Roman" w:hAnsi="Times New Roman" w:cs="Times New Roman"/>
                <w:b/>
              </w:rPr>
            </w:pPr>
          </w:p>
        </w:tc>
        <w:tc>
          <w:tcPr>
            <w:tcW w:w="1134" w:type="dxa"/>
            <w:vMerge/>
          </w:tcPr>
          <w:p w:rsidR="008F3A61" w:rsidRPr="00FA26FF" w:rsidRDefault="008F3A61" w:rsidP="00262EAB">
            <w:pPr>
              <w:jc w:val="center"/>
              <w:rPr>
                <w:rFonts w:ascii="Times New Roman" w:hAnsi="Times New Roman" w:cs="Times New Roman"/>
                <w:b/>
              </w:rPr>
            </w:pPr>
          </w:p>
        </w:tc>
        <w:tc>
          <w:tcPr>
            <w:tcW w:w="1417" w:type="dxa"/>
            <w:vMerge/>
          </w:tcPr>
          <w:p w:rsidR="008F3A61" w:rsidRPr="00FA26FF" w:rsidRDefault="008F3A61" w:rsidP="00262EAB">
            <w:pPr>
              <w:jc w:val="center"/>
              <w:rPr>
                <w:rFonts w:ascii="Times New Roman" w:hAnsi="Times New Roman" w:cs="Times New Roman"/>
                <w:b/>
              </w:rPr>
            </w:pPr>
          </w:p>
        </w:tc>
        <w:tc>
          <w:tcPr>
            <w:tcW w:w="1418"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30.11.2017</w:t>
            </w:r>
          </w:p>
        </w:tc>
        <w:tc>
          <w:tcPr>
            <w:tcW w:w="1559"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31.12.2017</w:t>
            </w:r>
          </w:p>
        </w:tc>
        <w:tc>
          <w:tcPr>
            <w:tcW w:w="1134" w:type="dxa"/>
            <w:vMerge/>
          </w:tcPr>
          <w:p w:rsidR="008F3A61" w:rsidRPr="00FA26FF" w:rsidRDefault="008F3A61" w:rsidP="00262EAB">
            <w:pPr>
              <w:jc w:val="center"/>
              <w:rPr>
                <w:rFonts w:ascii="Times New Roman" w:hAnsi="Times New Roman" w:cs="Times New Roman"/>
                <w:b/>
              </w:rPr>
            </w:pPr>
          </w:p>
        </w:tc>
        <w:tc>
          <w:tcPr>
            <w:tcW w:w="1559" w:type="dxa"/>
            <w:gridSpan w:val="2"/>
            <w:vMerge/>
          </w:tcPr>
          <w:p w:rsidR="008F3A61" w:rsidRPr="00FA26FF" w:rsidRDefault="008F3A61" w:rsidP="00262EAB">
            <w:pPr>
              <w:jc w:val="center"/>
              <w:rPr>
                <w:rFonts w:ascii="Times New Roman" w:hAnsi="Times New Roman" w:cs="Times New Roman"/>
                <w:b/>
              </w:rPr>
            </w:pPr>
          </w:p>
        </w:tc>
        <w:tc>
          <w:tcPr>
            <w:tcW w:w="1276"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30.11.2017</w:t>
            </w:r>
          </w:p>
        </w:tc>
        <w:tc>
          <w:tcPr>
            <w:tcW w:w="1417"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31.12.2017</w:t>
            </w:r>
          </w:p>
        </w:tc>
      </w:tr>
      <w:tr w:rsidR="008F3A61" w:rsidRPr="00FA26FF" w:rsidTr="00262EAB">
        <w:tc>
          <w:tcPr>
            <w:tcW w:w="3261" w:type="dxa"/>
          </w:tcPr>
          <w:p w:rsidR="008F3A61" w:rsidRPr="00FA26FF" w:rsidRDefault="008F3A61" w:rsidP="00262EAB">
            <w:pPr>
              <w:jc w:val="both"/>
              <w:rPr>
                <w:rFonts w:ascii="Times New Roman" w:hAnsi="Times New Roman" w:cs="Times New Roman"/>
                <w:b/>
              </w:rPr>
            </w:pPr>
            <w:r w:rsidRPr="00FA26FF">
              <w:rPr>
                <w:rStyle w:val="A30"/>
                <w:rFonts w:ascii="Times New Roman" w:hAnsi="Times New Roman" w:cs="Times New Roman"/>
                <w:b w:val="0"/>
                <w:sz w:val="22"/>
                <w:szCs w:val="22"/>
              </w:rPr>
              <w:t>Постановка на кадастровый учет земельных участков и объектов недвижимого имущества</w:t>
            </w:r>
          </w:p>
        </w:tc>
        <w:tc>
          <w:tcPr>
            <w:tcW w:w="1134"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2</w:t>
            </w:r>
          </w:p>
        </w:tc>
        <w:tc>
          <w:tcPr>
            <w:tcW w:w="1417"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2</w:t>
            </w:r>
          </w:p>
        </w:tc>
        <w:tc>
          <w:tcPr>
            <w:tcW w:w="1418"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2</w:t>
            </w:r>
          </w:p>
        </w:tc>
        <w:tc>
          <w:tcPr>
            <w:tcW w:w="1559"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2</w:t>
            </w:r>
          </w:p>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(мероприятия выполнены 100%)</w:t>
            </w:r>
          </w:p>
        </w:tc>
        <w:tc>
          <w:tcPr>
            <w:tcW w:w="1134"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5</w:t>
            </w:r>
          </w:p>
        </w:tc>
        <w:tc>
          <w:tcPr>
            <w:tcW w:w="1559" w:type="dxa"/>
            <w:gridSpan w:val="2"/>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4</w:t>
            </w:r>
          </w:p>
        </w:tc>
        <w:tc>
          <w:tcPr>
            <w:tcW w:w="1276"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4</w:t>
            </w:r>
          </w:p>
        </w:tc>
        <w:tc>
          <w:tcPr>
            <w:tcW w:w="1417"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4</w:t>
            </w:r>
          </w:p>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(показатели достигнуты 100%)</w:t>
            </w:r>
          </w:p>
        </w:tc>
      </w:tr>
      <w:tr w:rsidR="008F3A61" w:rsidRPr="00FA26FF" w:rsidTr="00262EAB">
        <w:tc>
          <w:tcPr>
            <w:tcW w:w="3261" w:type="dxa"/>
          </w:tcPr>
          <w:p w:rsidR="008F3A61" w:rsidRPr="00FA26FF" w:rsidRDefault="008F3A61" w:rsidP="00262EAB">
            <w:pPr>
              <w:jc w:val="both"/>
              <w:rPr>
                <w:rFonts w:ascii="Times New Roman" w:hAnsi="Times New Roman" w:cs="Times New Roman"/>
              </w:rPr>
            </w:pPr>
            <w:r w:rsidRPr="00FA26FF">
              <w:rPr>
                <w:rFonts w:ascii="Times New Roman" w:hAnsi="Times New Roman" w:cs="Times New Roman"/>
              </w:rPr>
              <w:t>Получение разрешения на строительство и территориальное планирование</w:t>
            </w:r>
          </w:p>
        </w:tc>
        <w:tc>
          <w:tcPr>
            <w:tcW w:w="1134"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18</w:t>
            </w:r>
          </w:p>
        </w:tc>
        <w:tc>
          <w:tcPr>
            <w:tcW w:w="1417"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15</w:t>
            </w:r>
          </w:p>
        </w:tc>
        <w:tc>
          <w:tcPr>
            <w:tcW w:w="1418"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18</w:t>
            </w:r>
          </w:p>
        </w:tc>
        <w:tc>
          <w:tcPr>
            <w:tcW w:w="1559"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18</w:t>
            </w:r>
          </w:p>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(мероприятия выполнены 100%)</w:t>
            </w:r>
          </w:p>
        </w:tc>
        <w:tc>
          <w:tcPr>
            <w:tcW w:w="1134"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30</w:t>
            </w:r>
          </w:p>
        </w:tc>
        <w:tc>
          <w:tcPr>
            <w:tcW w:w="1559" w:type="dxa"/>
            <w:gridSpan w:val="2"/>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24</w:t>
            </w:r>
          </w:p>
        </w:tc>
        <w:tc>
          <w:tcPr>
            <w:tcW w:w="1276"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24</w:t>
            </w:r>
          </w:p>
        </w:tc>
        <w:tc>
          <w:tcPr>
            <w:tcW w:w="1417"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28</w:t>
            </w:r>
          </w:p>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(показатели достигнуты 100%)</w:t>
            </w:r>
          </w:p>
        </w:tc>
      </w:tr>
      <w:tr w:rsidR="008F3A61" w:rsidRPr="00FA26FF" w:rsidTr="00262EAB">
        <w:tc>
          <w:tcPr>
            <w:tcW w:w="3261" w:type="dxa"/>
          </w:tcPr>
          <w:p w:rsidR="008F3A61" w:rsidRPr="00FA26FF" w:rsidRDefault="008F3A61" w:rsidP="00FA26FF">
            <w:pPr>
              <w:keepLines/>
              <w:jc w:val="both"/>
              <w:outlineLvl w:val="1"/>
              <w:rPr>
                <w:rFonts w:ascii="Times New Roman" w:hAnsi="Times New Roman" w:cs="Times New Roman"/>
                <w:b/>
                <w:bCs/>
                <w:color w:val="000000"/>
              </w:rPr>
            </w:pPr>
            <w:r w:rsidRPr="00FA26FF">
              <w:rPr>
                <w:rStyle w:val="A30"/>
                <w:rFonts w:ascii="Times New Roman" w:hAnsi="Times New Roman" w:cs="Times New Roman"/>
                <w:b w:val="0"/>
                <w:sz w:val="22"/>
                <w:szCs w:val="22"/>
              </w:rPr>
              <w:t>Совершенствование и внедрение положений регионального инвестиционного стандарта</w:t>
            </w:r>
          </w:p>
        </w:tc>
        <w:tc>
          <w:tcPr>
            <w:tcW w:w="1134"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11</w:t>
            </w:r>
          </w:p>
        </w:tc>
        <w:tc>
          <w:tcPr>
            <w:tcW w:w="1417"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10</w:t>
            </w:r>
          </w:p>
        </w:tc>
        <w:tc>
          <w:tcPr>
            <w:tcW w:w="1418"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10</w:t>
            </w:r>
          </w:p>
        </w:tc>
        <w:tc>
          <w:tcPr>
            <w:tcW w:w="1559"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11</w:t>
            </w:r>
          </w:p>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(мероприятия выполнены 100%)</w:t>
            </w:r>
          </w:p>
        </w:tc>
        <w:tc>
          <w:tcPr>
            <w:tcW w:w="5386" w:type="dxa"/>
            <w:gridSpan w:val="5"/>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В портфеле проектов показателей нет, только мероприятия</w:t>
            </w:r>
          </w:p>
        </w:tc>
      </w:tr>
      <w:tr w:rsidR="008F3A61" w:rsidRPr="00FA26FF" w:rsidTr="00262EAB">
        <w:tc>
          <w:tcPr>
            <w:tcW w:w="3261" w:type="dxa"/>
          </w:tcPr>
          <w:p w:rsidR="008F3A61" w:rsidRPr="00FA26FF" w:rsidRDefault="008F3A61" w:rsidP="00FA26FF">
            <w:pPr>
              <w:keepLines/>
              <w:jc w:val="both"/>
              <w:outlineLvl w:val="1"/>
              <w:rPr>
                <w:rFonts w:ascii="Times New Roman" w:hAnsi="Times New Roman" w:cs="Times New Roman"/>
                <w:b/>
                <w:bCs/>
                <w:color w:val="000000"/>
              </w:rPr>
            </w:pPr>
            <w:r w:rsidRPr="00FA26FF">
              <w:rPr>
                <w:rStyle w:val="A30"/>
                <w:rFonts w:ascii="Times New Roman" w:hAnsi="Times New Roman" w:cs="Times New Roman"/>
                <w:b w:val="0"/>
                <w:sz w:val="22"/>
                <w:szCs w:val="22"/>
              </w:rPr>
              <w:t>Подключение (технологическое присоединение) к электрическим сетям</w:t>
            </w:r>
          </w:p>
        </w:tc>
        <w:tc>
          <w:tcPr>
            <w:tcW w:w="1134"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4</w:t>
            </w:r>
          </w:p>
        </w:tc>
        <w:tc>
          <w:tcPr>
            <w:tcW w:w="1417"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4</w:t>
            </w:r>
          </w:p>
        </w:tc>
        <w:tc>
          <w:tcPr>
            <w:tcW w:w="1418"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4</w:t>
            </w:r>
          </w:p>
        </w:tc>
        <w:tc>
          <w:tcPr>
            <w:tcW w:w="1559"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4</w:t>
            </w:r>
          </w:p>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(мероприятия выполнены 100%)</w:t>
            </w:r>
          </w:p>
        </w:tc>
        <w:tc>
          <w:tcPr>
            <w:tcW w:w="1134"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3</w:t>
            </w:r>
          </w:p>
        </w:tc>
        <w:tc>
          <w:tcPr>
            <w:tcW w:w="1417"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3</w:t>
            </w:r>
          </w:p>
        </w:tc>
        <w:tc>
          <w:tcPr>
            <w:tcW w:w="1418" w:type="dxa"/>
            <w:gridSpan w:val="2"/>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3</w:t>
            </w:r>
          </w:p>
        </w:tc>
        <w:tc>
          <w:tcPr>
            <w:tcW w:w="1417"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3</w:t>
            </w:r>
          </w:p>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 xml:space="preserve"> (показатели достигнуты 100%)</w:t>
            </w:r>
          </w:p>
        </w:tc>
      </w:tr>
      <w:tr w:rsidR="008F3A61" w:rsidRPr="00FA26FF" w:rsidTr="00262EAB">
        <w:tc>
          <w:tcPr>
            <w:tcW w:w="3261" w:type="dxa"/>
          </w:tcPr>
          <w:p w:rsidR="008F3A61" w:rsidRPr="00FA26FF" w:rsidRDefault="008F3A61" w:rsidP="00262EAB">
            <w:pPr>
              <w:jc w:val="both"/>
              <w:rPr>
                <w:rFonts w:ascii="Times New Roman" w:hAnsi="Times New Roman" w:cs="Times New Roman"/>
                <w:b/>
              </w:rPr>
            </w:pPr>
            <w:r w:rsidRPr="00FA26FF">
              <w:rPr>
                <w:rStyle w:val="A30"/>
                <w:rFonts w:ascii="Times New Roman" w:hAnsi="Times New Roman" w:cs="Times New Roman"/>
                <w:b w:val="0"/>
                <w:sz w:val="22"/>
                <w:szCs w:val="22"/>
              </w:rPr>
              <w:t>Подключение (технологическое присоединение) к сетям теплоснабжения, водоснабжения и водоотведения</w:t>
            </w:r>
          </w:p>
        </w:tc>
        <w:tc>
          <w:tcPr>
            <w:tcW w:w="1134"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8</w:t>
            </w:r>
          </w:p>
        </w:tc>
        <w:tc>
          <w:tcPr>
            <w:tcW w:w="1417"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6</w:t>
            </w:r>
          </w:p>
        </w:tc>
        <w:tc>
          <w:tcPr>
            <w:tcW w:w="1418"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6</w:t>
            </w:r>
          </w:p>
        </w:tc>
        <w:tc>
          <w:tcPr>
            <w:tcW w:w="1559"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8</w:t>
            </w:r>
          </w:p>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(мероприятия выполнены 100%)</w:t>
            </w:r>
          </w:p>
        </w:tc>
        <w:tc>
          <w:tcPr>
            <w:tcW w:w="1134"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8</w:t>
            </w:r>
          </w:p>
        </w:tc>
        <w:tc>
          <w:tcPr>
            <w:tcW w:w="1417"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8</w:t>
            </w:r>
          </w:p>
        </w:tc>
        <w:tc>
          <w:tcPr>
            <w:tcW w:w="1418" w:type="dxa"/>
            <w:gridSpan w:val="2"/>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8</w:t>
            </w:r>
          </w:p>
        </w:tc>
        <w:tc>
          <w:tcPr>
            <w:tcW w:w="1417"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 xml:space="preserve">8 </w:t>
            </w:r>
          </w:p>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(показатели достигнуты 100%)</w:t>
            </w:r>
          </w:p>
        </w:tc>
      </w:tr>
      <w:tr w:rsidR="008F3A61" w:rsidRPr="00FA26FF" w:rsidTr="00262EAB">
        <w:tc>
          <w:tcPr>
            <w:tcW w:w="3261" w:type="dxa"/>
          </w:tcPr>
          <w:p w:rsidR="008F3A61" w:rsidRPr="00FA26FF" w:rsidRDefault="008F3A61" w:rsidP="00262EAB">
            <w:pPr>
              <w:keepLines/>
              <w:jc w:val="both"/>
              <w:outlineLvl w:val="1"/>
              <w:rPr>
                <w:rFonts w:ascii="Times New Roman" w:hAnsi="Times New Roman" w:cs="Times New Roman"/>
                <w:i/>
              </w:rPr>
            </w:pPr>
            <w:r w:rsidRPr="00FA26FF">
              <w:rPr>
                <w:rStyle w:val="A30"/>
                <w:rFonts w:ascii="Times New Roman" w:hAnsi="Times New Roman" w:cs="Times New Roman"/>
                <w:b w:val="0"/>
                <w:sz w:val="22"/>
                <w:szCs w:val="22"/>
              </w:rPr>
              <w:t>Система мер по стимулированию развития малого и среднего предпринимательства</w:t>
            </w:r>
          </w:p>
          <w:p w:rsidR="008F3A61" w:rsidRPr="00FA26FF" w:rsidRDefault="008F3A61" w:rsidP="00262EAB">
            <w:pPr>
              <w:jc w:val="both"/>
              <w:rPr>
                <w:rFonts w:ascii="Times New Roman" w:hAnsi="Times New Roman" w:cs="Times New Roman"/>
              </w:rPr>
            </w:pPr>
          </w:p>
        </w:tc>
        <w:tc>
          <w:tcPr>
            <w:tcW w:w="1134"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1</w:t>
            </w:r>
          </w:p>
        </w:tc>
        <w:tc>
          <w:tcPr>
            <w:tcW w:w="1417"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1</w:t>
            </w:r>
          </w:p>
        </w:tc>
        <w:tc>
          <w:tcPr>
            <w:tcW w:w="1418"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1</w:t>
            </w:r>
          </w:p>
        </w:tc>
        <w:tc>
          <w:tcPr>
            <w:tcW w:w="1559" w:type="dxa"/>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1 (мероприятия выполнены 100%)</w:t>
            </w:r>
          </w:p>
        </w:tc>
        <w:tc>
          <w:tcPr>
            <w:tcW w:w="5386" w:type="dxa"/>
            <w:gridSpan w:val="5"/>
          </w:tcPr>
          <w:p w:rsidR="008F3A61" w:rsidRPr="00FA26FF" w:rsidRDefault="008F3A61" w:rsidP="00262EAB">
            <w:pPr>
              <w:jc w:val="center"/>
              <w:rPr>
                <w:rFonts w:ascii="Times New Roman" w:hAnsi="Times New Roman" w:cs="Times New Roman"/>
              </w:rPr>
            </w:pPr>
            <w:r w:rsidRPr="00FA26FF">
              <w:rPr>
                <w:rFonts w:ascii="Times New Roman" w:hAnsi="Times New Roman" w:cs="Times New Roman"/>
              </w:rPr>
              <w:t>В портфеле проектов показателей нет, только мероприятия</w:t>
            </w:r>
          </w:p>
        </w:tc>
      </w:tr>
      <w:tr w:rsidR="008F3A61" w:rsidRPr="00FA26FF" w:rsidTr="00262EAB">
        <w:tc>
          <w:tcPr>
            <w:tcW w:w="3261" w:type="dxa"/>
          </w:tcPr>
          <w:p w:rsidR="008F3A61" w:rsidRPr="00FA26FF" w:rsidRDefault="008F3A61" w:rsidP="00262EAB">
            <w:pPr>
              <w:keepLines/>
              <w:jc w:val="right"/>
              <w:outlineLvl w:val="1"/>
              <w:rPr>
                <w:rStyle w:val="A30"/>
                <w:rFonts w:ascii="Times New Roman" w:hAnsi="Times New Roman" w:cs="Times New Roman"/>
                <w:sz w:val="22"/>
                <w:szCs w:val="22"/>
              </w:rPr>
            </w:pPr>
            <w:r w:rsidRPr="00FA26FF">
              <w:rPr>
                <w:rStyle w:val="A30"/>
                <w:rFonts w:ascii="Times New Roman" w:hAnsi="Times New Roman" w:cs="Times New Roman"/>
                <w:sz w:val="22"/>
                <w:szCs w:val="22"/>
              </w:rPr>
              <w:t>Итого:</w:t>
            </w:r>
          </w:p>
        </w:tc>
        <w:tc>
          <w:tcPr>
            <w:tcW w:w="1134"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44/100%</w:t>
            </w:r>
          </w:p>
        </w:tc>
        <w:tc>
          <w:tcPr>
            <w:tcW w:w="1417"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38/86%</w:t>
            </w:r>
          </w:p>
        </w:tc>
        <w:tc>
          <w:tcPr>
            <w:tcW w:w="1418"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41/93%</w:t>
            </w:r>
          </w:p>
        </w:tc>
        <w:tc>
          <w:tcPr>
            <w:tcW w:w="1559"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44/100%</w:t>
            </w:r>
          </w:p>
        </w:tc>
        <w:tc>
          <w:tcPr>
            <w:tcW w:w="1134"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46/100%</w:t>
            </w:r>
          </w:p>
        </w:tc>
        <w:tc>
          <w:tcPr>
            <w:tcW w:w="1417"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39/84%</w:t>
            </w:r>
          </w:p>
        </w:tc>
        <w:tc>
          <w:tcPr>
            <w:tcW w:w="1418" w:type="dxa"/>
            <w:gridSpan w:val="2"/>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39/84%</w:t>
            </w:r>
          </w:p>
        </w:tc>
        <w:tc>
          <w:tcPr>
            <w:tcW w:w="1417" w:type="dxa"/>
          </w:tcPr>
          <w:p w:rsidR="008F3A61" w:rsidRPr="00FA26FF" w:rsidRDefault="008F3A61" w:rsidP="00262EAB">
            <w:pPr>
              <w:jc w:val="center"/>
              <w:rPr>
                <w:rFonts w:ascii="Times New Roman" w:hAnsi="Times New Roman" w:cs="Times New Roman"/>
                <w:b/>
              </w:rPr>
            </w:pPr>
            <w:r w:rsidRPr="00FA26FF">
              <w:rPr>
                <w:rFonts w:ascii="Times New Roman" w:hAnsi="Times New Roman" w:cs="Times New Roman"/>
                <w:b/>
              </w:rPr>
              <w:t>43/93%</w:t>
            </w:r>
          </w:p>
        </w:tc>
      </w:tr>
    </w:tbl>
    <w:p w:rsidR="008F3A61" w:rsidRPr="00FA26FF" w:rsidRDefault="008F3A61" w:rsidP="008F3A61">
      <w:pPr>
        <w:spacing w:line="240" w:lineRule="auto"/>
        <w:ind w:firstLine="708"/>
        <w:jc w:val="both"/>
        <w:rPr>
          <w:rFonts w:ascii="Times New Roman" w:hAnsi="Times New Roman" w:cs="Times New Roman"/>
        </w:rPr>
      </w:pPr>
    </w:p>
    <w:p w:rsidR="008F3A61" w:rsidRPr="00184937" w:rsidRDefault="008F3A61" w:rsidP="008F3A61">
      <w:pPr>
        <w:spacing w:line="240" w:lineRule="auto"/>
        <w:ind w:left="708" w:firstLine="708"/>
        <w:jc w:val="both"/>
        <w:rPr>
          <w:rFonts w:ascii="Times New Roman" w:hAnsi="Times New Roman"/>
        </w:rPr>
      </w:pPr>
      <w:r w:rsidRPr="00184937">
        <w:rPr>
          <w:rFonts w:ascii="Times New Roman" w:hAnsi="Times New Roman"/>
        </w:rPr>
        <w:t xml:space="preserve">На </w:t>
      </w:r>
      <w:r>
        <w:rPr>
          <w:rFonts w:ascii="Times New Roman" w:hAnsi="Times New Roman"/>
        </w:rPr>
        <w:t>24</w:t>
      </w:r>
      <w:r w:rsidRPr="00184937">
        <w:rPr>
          <w:rFonts w:ascii="Times New Roman" w:hAnsi="Times New Roman"/>
        </w:rPr>
        <w:t>.1</w:t>
      </w:r>
      <w:r>
        <w:rPr>
          <w:rFonts w:ascii="Times New Roman" w:hAnsi="Times New Roman"/>
        </w:rPr>
        <w:t>1</w:t>
      </w:r>
      <w:r w:rsidRPr="00184937">
        <w:rPr>
          <w:rFonts w:ascii="Times New Roman" w:hAnsi="Times New Roman"/>
        </w:rPr>
        <w:t xml:space="preserve">.2017 не выполнено 6 мероприятий и не достигнуто </w:t>
      </w:r>
      <w:r>
        <w:rPr>
          <w:rFonts w:ascii="Times New Roman" w:hAnsi="Times New Roman"/>
        </w:rPr>
        <w:t>7</w:t>
      </w:r>
      <w:r w:rsidRPr="00184937">
        <w:rPr>
          <w:rFonts w:ascii="Times New Roman" w:hAnsi="Times New Roman"/>
        </w:rPr>
        <w:t xml:space="preserve"> показателей</w:t>
      </w:r>
    </w:p>
    <w:p w:rsidR="004C35D5" w:rsidRDefault="004C35D5"/>
    <w:sectPr w:rsidR="004C35D5" w:rsidSect="00E950CB">
      <w:pgSz w:w="16838" w:h="11906" w:orient="landscape"/>
      <w:pgMar w:top="709" w:right="1134" w:bottom="850"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OfficinaSansC">
    <w:altName w:val="Calibri"/>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2"/>
  </w:compat>
  <w:rsids>
    <w:rsidRoot w:val="008F3A61"/>
    <w:rsid w:val="004C35D5"/>
    <w:rsid w:val="008F3A61"/>
    <w:rsid w:val="00FA2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F3A61"/>
    <w:pPr>
      <w:ind w:left="720"/>
      <w:contextualSpacing/>
    </w:pPr>
    <w:rPr>
      <w:rFonts w:eastAsiaTheme="minorHAnsi"/>
      <w:lang w:eastAsia="en-US"/>
    </w:rPr>
  </w:style>
  <w:style w:type="table" w:styleId="a5">
    <w:name w:val="Table Grid"/>
    <w:basedOn w:val="a1"/>
    <w:uiPriority w:val="59"/>
    <w:rsid w:val="008F3A61"/>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8F3A61"/>
    <w:rPr>
      <w:rFonts w:eastAsiaTheme="minorHAnsi"/>
      <w:lang w:eastAsia="en-US"/>
    </w:rPr>
  </w:style>
  <w:style w:type="character" w:customStyle="1" w:styleId="A30">
    <w:name w:val="A3"/>
    <w:uiPriority w:val="99"/>
    <w:rsid w:val="008F3A61"/>
    <w:rPr>
      <w:rFonts w:ascii="OfficinaSansC" w:hAnsi="OfficinaSansC" w:cs="OfficinaSansC" w:hint="default"/>
      <w:b/>
      <w:bCs/>
      <w:color w:val="000000"/>
      <w:sz w:val="28"/>
      <w:szCs w:val="28"/>
    </w:rPr>
  </w:style>
  <w:style w:type="paragraph" w:styleId="a6">
    <w:name w:val="Balloon Text"/>
    <w:basedOn w:val="a"/>
    <w:link w:val="a7"/>
    <w:uiPriority w:val="99"/>
    <w:semiHidden/>
    <w:unhideWhenUsed/>
    <w:rsid w:val="00FA26F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26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16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2287</Words>
  <Characters>13040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CMP</dc:creator>
  <cp:keywords/>
  <dc:description/>
  <cp:lastModifiedBy>Крылова Маргарита Евгеньевна</cp:lastModifiedBy>
  <cp:revision>3</cp:revision>
  <cp:lastPrinted>2017-11-24T12:05:00Z</cp:lastPrinted>
  <dcterms:created xsi:type="dcterms:W3CDTF">2017-11-24T09:07:00Z</dcterms:created>
  <dcterms:modified xsi:type="dcterms:W3CDTF">2017-11-24T12:05:00Z</dcterms:modified>
</cp:coreProperties>
</file>