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DC3" w:rsidRPr="002F2828" w:rsidRDefault="000C3DC3" w:rsidP="000C3DC3">
      <w:pPr>
        <w:ind w:firstLine="709"/>
        <w:jc w:val="center"/>
        <w:rPr>
          <w:b/>
          <w:sz w:val="26"/>
          <w:szCs w:val="26"/>
        </w:rPr>
      </w:pPr>
      <w:r w:rsidRPr="002F2828">
        <w:rPr>
          <w:b/>
          <w:sz w:val="26"/>
          <w:szCs w:val="26"/>
        </w:rPr>
        <w:t xml:space="preserve">Отчёт о деятельности Контрольно-счетной палаты </w:t>
      </w:r>
    </w:p>
    <w:p w:rsidR="000C3DC3" w:rsidRPr="002F2828" w:rsidRDefault="000C3DC3" w:rsidP="000C3DC3">
      <w:pPr>
        <w:tabs>
          <w:tab w:val="center" w:pos="4748"/>
          <w:tab w:val="left" w:pos="6810"/>
        </w:tabs>
        <w:ind w:firstLine="709"/>
        <w:rPr>
          <w:b/>
          <w:sz w:val="26"/>
          <w:szCs w:val="26"/>
        </w:rPr>
      </w:pPr>
      <w:r w:rsidRPr="002F2828">
        <w:rPr>
          <w:b/>
          <w:sz w:val="26"/>
          <w:szCs w:val="26"/>
        </w:rPr>
        <w:tab/>
        <w:t>города Когалыма за 2023 год</w:t>
      </w:r>
    </w:p>
    <w:p w:rsidR="000C3DC3" w:rsidRDefault="000C3DC3" w:rsidP="000C3DC3">
      <w:pPr>
        <w:tabs>
          <w:tab w:val="center" w:pos="4748"/>
          <w:tab w:val="left" w:pos="6810"/>
        </w:tabs>
        <w:ind w:firstLine="709"/>
        <w:rPr>
          <w:sz w:val="26"/>
          <w:szCs w:val="26"/>
        </w:rPr>
      </w:pPr>
    </w:p>
    <w:p w:rsidR="000C3DC3" w:rsidRPr="00664CF5" w:rsidRDefault="000C3DC3" w:rsidP="000C3DC3">
      <w:pPr>
        <w:ind w:firstLine="720"/>
        <w:jc w:val="both"/>
        <w:rPr>
          <w:sz w:val="26"/>
          <w:szCs w:val="26"/>
        </w:rPr>
      </w:pPr>
      <w:r w:rsidRPr="00664CF5">
        <w:rPr>
          <w:sz w:val="26"/>
          <w:szCs w:val="26"/>
        </w:rPr>
        <w:t>Настоящий отчёт о деятельности Контрольно-счетной палаты города Когалыма за 2023 год подготовлен в соответствии с требованиями статьи 19 Федерального закона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пункта 19.2 раздела 19 Положения о Контрольно-счетной палате города Когалыма, утверждённого решением Думы города Когалыма от 29.09.2011 №76-ГД.</w:t>
      </w:r>
    </w:p>
    <w:p w:rsidR="000C3DC3" w:rsidRPr="00664CF5" w:rsidRDefault="000C3DC3" w:rsidP="000C3DC3">
      <w:pPr>
        <w:ind w:firstLine="720"/>
        <w:jc w:val="both"/>
        <w:rPr>
          <w:sz w:val="12"/>
          <w:szCs w:val="12"/>
        </w:rPr>
      </w:pPr>
    </w:p>
    <w:p w:rsidR="000C3DC3" w:rsidRPr="00664CF5" w:rsidRDefault="000C3DC3" w:rsidP="000C3DC3">
      <w:pPr>
        <w:ind w:firstLine="720"/>
        <w:jc w:val="center"/>
        <w:rPr>
          <w:sz w:val="26"/>
          <w:szCs w:val="26"/>
        </w:rPr>
      </w:pPr>
      <w:r w:rsidRPr="00664CF5">
        <w:rPr>
          <w:sz w:val="26"/>
          <w:szCs w:val="26"/>
        </w:rPr>
        <w:t>1. Вводные положения</w:t>
      </w:r>
    </w:p>
    <w:p w:rsidR="000C3DC3" w:rsidRPr="00664CF5" w:rsidRDefault="000C3DC3" w:rsidP="000C3DC3">
      <w:pPr>
        <w:ind w:firstLine="720"/>
        <w:jc w:val="center"/>
        <w:rPr>
          <w:sz w:val="12"/>
          <w:szCs w:val="12"/>
        </w:rPr>
      </w:pPr>
    </w:p>
    <w:p w:rsidR="000C3DC3" w:rsidRPr="00664CF5" w:rsidRDefault="000C3DC3" w:rsidP="000C3DC3">
      <w:pPr>
        <w:ind w:firstLine="720"/>
        <w:jc w:val="both"/>
        <w:rPr>
          <w:sz w:val="26"/>
          <w:szCs w:val="26"/>
        </w:rPr>
      </w:pPr>
      <w:r w:rsidRPr="00664CF5">
        <w:rPr>
          <w:sz w:val="26"/>
          <w:szCs w:val="26"/>
        </w:rPr>
        <w:t>В 2023 году деятельность Контрольно-счетной палаты города      Когалыма (далее по тексту – Контрольно-счетная палата) строилась в соответствии с нормативными правовыми актами Российской Федерации, Ханты-Мансийского автономного округа - Югры и муниципальными правовыми актами города Когалыма на основе принципов законности, объективности, эффективности, независимости, открытости и гласности.</w:t>
      </w:r>
    </w:p>
    <w:p w:rsidR="000C3DC3" w:rsidRPr="00664CF5" w:rsidRDefault="000C3DC3" w:rsidP="000C3DC3">
      <w:pPr>
        <w:ind w:firstLine="720"/>
        <w:jc w:val="both"/>
        <w:rPr>
          <w:sz w:val="26"/>
          <w:szCs w:val="26"/>
        </w:rPr>
      </w:pPr>
      <w:r w:rsidRPr="00664CF5">
        <w:rPr>
          <w:sz w:val="26"/>
          <w:szCs w:val="26"/>
        </w:rPr>
        <w:t xml:space="preserve">Приоритетным направлением в деятельности Контрольно-счетной палаты являлось осуществление комплекса контрольных и экспертно-аналитических мероприятий, сосредоточенных на проверке законности, обоснованности и результативности (эффективности и экономности) расходования средств бюджета, использования муниципальной собственности, контроле за исполнением законодательства о контрактной системе в сфере закупок товаров, работ, услуг для обеспечения муниципальных нужд.   </w:t>
      </w:r>
    </w:p>
    <w:p w:rsidR="000C3DC3" w:rsidRPr="00664CF5" w:rsidRDefault="000C3DC3" w:rsidP="000C3DC3">
      <w:pPr>
        <w:ind w:firstLine="720"/>
        <w:jc w:val="both"/>
        <w:rPr>
          <w:sz w:val="26"/>
          <w:szCs w:val="26"/>
          <w:lang w:eastAsia="en-US"/>
        </w:rPr>
      </w:pPr>
      <w:r w:rsidRPr="00664CF5">
        <w:rPr>
          <w:sz w:val="26"/>
          <w:szCs w:val="26"/>
        </w:rPr>
        <w:t>Работа Контрольно-счетной палаты осуществлялась на основе утверждённого председателем плана работы на 2023 год, который</w:t>
      </w:r>
      <w:r w:rsidRPr="00664CF5">
        <w:rPr>
          <w:sz w:val="26"/>
          <w:szCs w:val="26"/>
          <w:lang w:eastAsia="en-US"/>
        </w:rPr>
        <w:t xml:space="preserve"> сформирован исходя из необходимости реализации задач, поставленных перед Контрольно-счетной палатой в соответствии с Бюджетным кодексом Российской Федерации и Федеральным законом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0C3DC3" w:rsidRPr="00664CF5" w:rsidRDefault="000C3DC3" w:rsidP="000C3DC3">
      <w:pPr>
        <w:ind w:firstLine="720"/>
        <w:jc w:val="both"/>
        <w:rPr>
          <w:sz w:val="26"/>
          <w:szCs w:val="26"/>
        </w:rPr>
      </w:pPr>
      <w:r w:rsidRPr="00664CF5">
        <w:rPr>
          <w:sz w:val="26"/>
          <w:szCs w:val="26"/>
        </w:rPr>
        <w:t>В отчётном периоде контрольные и экспертно-аналитические мероприятия проводились в Администрации города Когалыма и её структурных подразделениях, в учреждениях и организациях, получивших средства из городского бюджета, а также использующих муниципальное имущество или земельные участки, расположенные на территории города.</w:t>
      </w:r>
    </w:p>
    <w:p w:rsidR="000C3DC3" w:rsidRPr="00664CF5" w:rsidRDefault="000C3DC3" w:rsidP="000C3DC3">
      <w:pPr>
        <w:ind w:firstLine="720"/>
        <w:jc w:val="both"/>
        <w:rPr>
          <w:sz w:val="26"/>
          <w:szCs w:val="26"/>
        </w:rPr>
      </w:pPr>
      <w:r w:rsidRPr="00664CF5">
        <w:rPr>
          <w:sz w:val="26"/>
          <w:szCs w:val="26"/>
        </w:rPr>
        <w:t>В рамках каждого мероприятия анализировалось соблюдение требований законодательства в сфере бюджетных правоотношений. Изучение нормативных правовых актов в практике их применения позволяло выявлять пробелы и несогласованность норм права, оценивать полноту регламентации деятельности органов местного самоуправления и учреждений.</w:t>
      </w:r>
    </w:p>
    <w:p w:rsidR="000C3DC3" w:rsidRPr="00664CF5" w:rsidRDefault="000C3DC3" w:rsidP="000C3DC3">
      <w:pPr>
        <w:ind w:firstLine="720"/>
        <w:jc w:val="both"/>
        <w:rPr>
          <w:sz w:val="26"/>
          <w:szCs w:val="26"/>
        </w:rPr>
      </w:pPr>
      <w:r w:rsidRPr="00664CF5">
        <w:rPr>
          <w:sz w:val="26"/>
          <w:szCs w:val="26"/>
        </w:rPr>
        <w:t>В 2023 году проведено 15 контрольных и 15 экспертно-аналитических мероприятий (за исключением экспертиз нормативных правовых актов и программ), в рамках которых по различным вопросам проверено 67 объектов, в том числе 31 структурное подразделение Администрации города Когалыма, 32 муниципальных и 4 прочих учреждения.</w:t>
      </w:r>
    </w:p>
    <w:p w:rsidR="000C3DC3" w:rsidRPr="00664CF5" w:rsidRDefault="000C3DC3" w:rsidP="000C3DC3">
      <w:pPr>
        <w:ind w:firstLine="720"/>
        <w:jc w:val="both"/>
        <w:rPr>
          <w:sz w:val="26"/>
          <w:szCs w:val="26"/>
        </w:rPr>
      </w:pPr>
      <w:r w:rsidRPr="00664CF5">
        <w:rPr>
          <w:sz w:val="26"/>
          <w:szCs w:val="26"/>
        </w:rPr>
        <w:lastRenderedPageBreak/>
        <w:t>Объём проверенных (проанализированных) средств в рамках контрольных и экспертно-аналитических мероприятий составил 39</w:t>
      </w:r>
      <w:r>
        <w:rPr>
          <w:sz w:val="26"/>
          <w:szCs w:val="26"/>
        </w:rPr>
        <w:t> </w:t>
      </w:r>
      <w:r w:rsidRPr="00F71691">
        <w:rPr>
          <w:sz w:val="26"/>
          <w:szCs w:val="26"/>
        </w:rPr>
        <w:t>129</w:t>
      </w:r>
      <w:r>
        <w:rPr>
          <w:sz w:val="26"/>
          <w:szCs w:val="26"/>
          <w:lang w:val="en-US"/>
        </w:rPr>
        <w:t> </w:t>
      </w:r>
      <w:r w:rsidRPr="00F71691">
        <w:rPr>
          <w:sz w:val="26"/>
          <w:szCs w:val="26"/>
        </w:rPr>
        <w:t>700</w:t>
      </w:r>
      <w:r>
        <w:rPr>
          <w:sz w:val="26"/>
          <w:szCs w:val="26"/>
        </w:rPr>
        <w:t>,</w:t>
      </w:r>
      <w:r w:rsidRPr="00F71691">
        <w:rPr>
          <w:sz w:val="26"/>
          <w:szCs w:val="26"/>
        </w:rPr>
        <w:t>1</w:t>
      </w:r>
      <w:r w:rsidRPr="00664CF5">
        <w:rPr>
          <w:sz w:val="26"/>
          <w:szCs w:val="26"/>
        </w:rPr>
        <w:t xml:space="preserve"> тыс. рублей.  </w:t>
      </w:r>
    </w:p>
    <w:p w:rsidR="000C3DC3" w:rsidRPr="00664CF5" w:rsidRDefault="000C3DC3" w:rsidP="000C3DC3">
      <w:pPr>
        <w:ind w:firstLine="720"/>
        <w:jc w:val="both"/>
        <w:rPr>
          <w:sz w:val="26"/>
          <w:szCs w:val="26"/>
        </w:rPr>
      </w:pPr>
      <w:r w:rsidRPr="00664CF5">
        <w:rPr>
          <w:sz w:val="26"/>
          <w:szCs w:val="26"/>
        </w:rPr>
        <w:t>По результатам указанных мероприятий установлено 1 062 нарушения на общую сумму 12 214,7 тыс. рублей, из них неустранимых 697 нарушений на сумму 2 342,5 тыс. рублей.</w:t>
      </w:r>
    </w:p>
    <w:p w:rsidR="000C3DC3" w:rsidRPr="00664CF5" w:rsidRDefault="000C3DC3" w:rsidP="000C3DC3">
      <w:pPr>
        <w:ind w:firstLine="720"/>
        <w:jc w:val="both"/>
        <w:rPr>
          <w:sz w:val="26"/>
          <w:szCs w:val="26"/>
        </w:rPr>
      </w:pPr>
      <w:r w:rsidRPr="00664CF5">
        <w:rPr>
          <w:sz w:val="26"/>
          <w:szCs w:val="26"/>
        </w:rPr>
        <w:t>По результатам рассмотрения материалов проверок в отчетном периоде устранено 245 нарушений на сумму 6 465,0 тыс. рублей, что составляет 52,9% от общей суммы выявленных нарушений или 65,5% от суммы, подлежащей устранению (9 872,2 тыс. рублей).</w:t>
      </w:r>
    </w:p>
    <w:p w:rsidR="000C3DC3" w:rsidRPr="00664CF5" w:rsidRDefault="000C3DC3" w:rsidP="000C3DC3">
      <w:pPr>
        <w:ind w:firstLine="720"/>
        <w:jc w:val="both"/>
        <w:rPr>
          <w:sz w:val="26"/>
          <w:szCs w:val="26"/>
        </w:rPr>
      </w:pPr>
      <w:r w:rsidRPr="00664CF5">
        <w:rPr>
          <w:sz w:val="26"/>
          <w:szCs w:val="26"/>
        </w:rPr>
        <w:t xml:space="preserve">Основные показатели деятельности Контрольно-счетной палаты за 2023 год представлены в приложении к настоящему отчёту. </w:t>
      </w:r>
    </w:p>
    <w:p w:rsidR="000C3DC3" w:rsidRPr="00664CF5" w:rsidRDefault="000C3DC3" w:rsidP="000C3DC3">
      <w:pPr>
        <w:ind w:firstLine="720"/>
        <w:jc w:val="both"/>
        <w:rPr>
          <w:sz w:val="26"/>
          <w:szCs w:val="26"/>
        </w:rPr>
      </w:pPr>
      <w:r w:rsidRPr="00664CF5">
        <w:rPr>
          <w:sz w:val="26"/>
          <w:szCs w:val="26"/>
        </w:rPr>
        <w:t xml:space="preserve">Подробная информация представлена в соответствующих разделах отчёта. </w:t>
      </w:r>
    </w:p>
    <w:p w:rsidR="000C3DC3" w:rsidRPr="00664CF5" w:rsidRDefault="000C3DC3" w:rsidP="000C3DC3">
      <w:pPr>
        <w:ind w:firstLine="720"/>
        <w:jc w:val="both"/>
      </w:pPr>
    </w:p>
    <w:p w:rsidR="000C3DC3" w:rsidRPr="00664CF5" w:rsidRDefault="000C3DC3" w:rsidP="000C3DC3">
      <w:pPr>
        <w:ind w:firstLine="720"/>
        <w:jc w:val="center"/>
        <w:rPr>
          <w:sz w:val="26"/>
          <w:szCs w:val="26"/>
        </w:rPr>
      </w:pPr>
      <w:r w:rsidRPr="00664CF5">
        <w:rPr>
          <w:sz w:val="26"/>
          <w:szCs w:val="26"/>
        </w:rPr>
        <w:t>2. Обобщённые сведения по результатам проведения</w:t>
      </w:r>
    </w:p>
    <w:p w:rsidR="000C3DC3" w:rsidRDefault="000C3DC3" w:rsidP="000C3DC3">
      <w:pPr>
        <w:ind w:firstLine="720"/>
        <w:jc w:val="center"/>
        <w:rPr>
          <w:sz w:val="26"/>
          <w:szCs w:val="26"/>
        </w:rPr>
      </w:pPr>
      <w:r w:rsidRPr="00664CF5">
        <w:rPr>
          <w:sz w:val="26"/>
          <w:szCs w:val="26"/>
        </w:rPr>
        <w:t>контрольных мероприятий</w:t>
      </w:r>
    </w:p>
    <w:p w:rsidR="000C3DC3" w:rsidRPr="00664CF5" w:rsidRDefault="000C3DC3" w:rsidP="000C3DC3">
      <w:pPr>
        <w:ind w:firstLine="720"/>
        <w:jc w:val="center"/>
        <w:rPr>
          <w:sz w:val="26"/>
          <w:szCs w:val="26"/>
        </w:rPr>
      </w:pPr>
    </w:p>
    <w:p w:rsidR="000C3DC3" w:rsidRPr="00664CF5" w:rsidRDefault="000C3DC3" w:rsidP="000C3DC3">
      <w:pPr>
        <w:shd w:val="clear" w:color="auto" w:fill="FFFFFF"/>
        <w:ind w:firstLine="720"/>
        <w:jc w:val="both"/>
        <w:rPr>
          <w:sz w:val="26"/>
          <w:szCs w:val="26"/>
        </w:rPr>
      </w:pPr>
      <w:r w:rsidRPr="00664CF5">
        <w:rPr>
          <w:sz w:val="26"/>
          <w:szCs w:val="26"/>
        </w:rPr>
        <w:t>В соответствии с утверждённым планом работы Контрольно-счетной палаты в 2023 году проведено 15 контрольных мероприятий, в рамках которых проверены 38 объектов, в том числе 13 структурных подразделений Администрации города Когалыма и 25 муниципальных учреждений.</w:t>
      </w:r>
    </w:p>
    <w:p w:rsidR="000C3DC3" w:rsidRPr="00664CF5" w:rsidRDefault="000C3DC3" w:rsidP="000C3DC3">
      <w:pPr>
        <w:shd w:val="clear" w:color="auto" w:fill="FFFFFF"/>
        <w:ind w:firstLine="720"/>
        <w:jc w:val="both"/>
        <w:rPr>
          <w:sz w:val="26"/>
          <w:szCs w:val="26"/>
        </w:rPr>
      </w:pPr>
      <w:r w:rsidRPr="00664CF5">
        <w:rPr>
          <w:sz w:val="26"/>
          <w:szCs w:val="26"/>
        </w:rPr>
        <w:t>Контрольные мероприятия проведены по следующим направлениям:</w:t>
      </w:r>
    </w:p>
    <w:p w:rsidR="000C3DC3" w:rsidRPr="00664CF5" w:rsidRDefault="000C3DC3" w:rsidP="000C3DC3">
      <w:pPr>
        <w:shd w:val="clear" w:color="auto" w:fill="FFFFFF"/>
        <w:ind w:firstLine="720"/>
        <w:jc w:val="both"/>
        <w:rPr>
          <w:sz w:val="26"/>
          <w:szCs w:val="26"/>
        </w:rPr>
      </w:pPr>
      <w:r w:rsidRPr="00664CF5">
        <w:rPr>
          <w:sz w:val="26"/>
          <w:szCs w:val="26"/>
        </w:rPr>
        <w:t>- проверка целевого и эффективного использования субсидий, выделенных частным организациям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w:t>
      </w:r>
    </w:p>
    <w:p w:rsidR="000C3DC3" w:rsidRPr="00664CF5" w:rsidRDefault="000C3DC3" w:rsidP="000C3DC3">
      <w:pPr>
        <w:shd w:val="clear" w:color="auto" w:fill="FFFFFF"/>
        <w:ind w:firstLine="720"/>
        <w:jc w:val="both"/>
        <w:rPr>
          <w:sz w:val="26"/>
          <w:szCs w:val="26"/>
        </w:rPr>
      </w:pPr>
      <w:r w:rsidRPr="00664CF5">
        <w:rPr>
          <w:sz w:val="26"/>
          <w:szCs w:val="26"/>
        </w:rPr>
        <w:t>- проверка целевого и эффективного использования субсидий, выделенных на выполнение муниципального задания и на иные цели: Муниципальному автономному общеобразовательному учреждению «Средняя общеобразовательная школа №1» города Когалыма, Муниципальному автономному учреждению «КДК «Арт-Праздник», Муниципальному бюджетному учреждению «</w:t>
      </w:r>
      <w:proofErr w:type="spellStart"/>
      <w:r w:rsidRPr="00664CF5">
        <w:rPr>
          <w:sz w:val="26"/>
          <w:szCs w:val="26"/>
        </w:rPr>
        <w:t>Коммунспецавтотехника</w:t>
      </w:r>
      <w:proofErr w:type="spellEnd"/>
      <w:r w:rsidRPr="00664CF5">
        <w:rPr>
          <w:sz w:val="26"/>
          <w:szCs w:val="26"/>
        </w:rPr>
        <w:t>»,</w:t>
      </w:r>
      <w:r w:rsidRPr="00664CF5">
        <w:t xml:space="preserve"> </w:t>
      </w:r>
      <w:r w:rsidRPr="00664CF5">
        <w:rPr>
          <w:sz w:val="26"/>
          <w:szCs w:val="26"/>
        </w:rPr>
        <w:t>Муниципальному автономному дошкольному образовательному учреждению «Буратино»;</w:t>
      </w:r>
    </w:p>
    <w:p w:rsidR="000C3DC3" w:rsidRPr="00664CF5" w:rsidRDefault="000C3DC3" w:rsidP="000C3DC3">
      <w:pPr>
        <w:shd w:val="clear" w:color="auto" w:fill="FFFFFF"/>
        <w:ind w:firstLine="720"/>
        <w:jc w:val="both"/>
        <w:rPr>
          <w:sz w:val="26"/>
          <w:szCs w:val="26"/>
        </w:rPr>
      </w:pPr>
      <w:r w:rsidRPr="00664CF5">
        <w:rPr>
          <w:sz w:val="26"/>
          <w:szCs w:val="26"/>
        </w:rPr>
        <w:t>- проверка целевого и эффективного использования средств, выделенных на реализацию отдельных мероприятий, в рамках 5-ти муниципальных программ, в том числе: развития жилищной сферы, жилищно-коммунального хозяйства, агропромышленного комплекса, социально-экономического развития города, а также в сфере образования;</w:t>
      </w:r>
    </w:p>
    <w:p w:rsidR="000C3DC3" w:rsidRPr="00664CF5" w:rsidRDefault="000C3DC3" w:rsidP="000C3DC3">
      <w:pPr>
        <w:shd w:val="clear" w:color="auto" w:fill="FFFFFF"/>
        <w:ind w:firstLine="720"/>
        <w:jc w:val="both"/>
        <w:rPr>
          <w:sz w:val="26"/>
          <w:szCs w:val="26"/>
        </w:rPr>
      </w:pPr>
      <w:r w:rsidRPr="00664CF5">
        <w:rPr>
          <w:sz w:val="26"/>
          <w:szCs w:val="26"/>
        </w:rPr>
        <w:t>- проверка финансово-хозяйственной деятельности Муниципального казенного учреждения «Единая дежурно-диспетчерская служба города Когалыма»;</w:t>
      </w:r>
    </w:p>
    <w:p w:rsidR="000C3DC3" w:rsidRPr="00664CF5" w:rsidRDefault="000C3DC3" w:rsidP="000C3DC3">
      <w:pPr>
        <w:shd w:val="clear" w:color="auto" w:fill="FFFFFF"/>
        <w:ind w:firstLine="720"/>
        <w:jc w:val="both"/>
        <w:rPr>
          <w:sz w:val="26"/>
          <w:szCs w:val="26"/>
        </w:rPr>
      </w:pPr>
      <w:r w:rsidRPr="00664CF5">
        <w:rPr>
          <w:sz w:val="26"/>
          <w:szCs w:val="26"/>
        </w:rPr>
        <w:t>- аудит в сфере закупок товаров, работ, услуг, осуществляемых комитетом по управлению муниципальным имуществом Администрации города Когалыма;</w:t>
      </w:r>
    </w:p>
    <w:p w:rsidR="000C3DC3" w:rsidRPr="00664CF5" w:rsidRDefault="000C3DC3" w:rsidP="000C3DC3">
      <w:pPr>
        <w:shd w:val="clear" w:color="auto" w:fill="FFFFFF"/>
        <w:ind w:firstLine="720"/>
        <w:jc w:val="both"/>
        <w:rPr>
          <w:sz w:val="26"/>
          <w:szCs w:val="26"/>
        </w:rPr>
      </w:pPr>
      <w:r w:rsidRPr="00664CF5">
        <w:rPr>
          <w:sz w:val="26"/>
          <w:szCs w:val="26"/>
        </w:rPr>
        <w:t xml:space="preserve">- проверка законности, результативности (эффективности и экономности) использования бюджетных средств, выделенных на реализацию мероприятий по обеспечению комплексной безопасности и комфортных </w:t>
      </w:r>
      <w:r w:rsidRPr="00664CF5">
        <w:rPr>
          <w:sz w:val="26"/>
          <w:szCs w:val="26"/>
        </w:rPr>
        <w:lastRenderedPageBreak/>
        <w:t>условий образовательной деятельности в учреждениях и организациях общего и дополнительного образования;</w:t>
      </w:r>
    </w:p>
    <w:p w:rsidR="000C3DC3" w:rsidRPr="00664CF5" w:rsidRDefault="000C3DC3" w:rsidP="000C3DC3">
      <w:pPr>
        <w:shd w:val="clear" w:color="auto" w:fill="FFFFFF"/>
        <w:ind w:firstLine="720"/>
        <w:jc w:val="both"/>
        <w:rPr>
          <w:sz w:val="26"/>
          <w:szCs w:val="26"/>
        </w:rPr>
      </w:pPr>
      <w:r w:rsidRPr="00664CF5">
        <w:rPr>
          <w:sz w:val="26"/>
          <w:szCs w:val="26"/>
        </w:rPr>
        <w:t>- два совместных мероприятия с прокуратурой города Когалыма по проверке исполнения законодательства и целевого использования бюджетных средств, в рамках национальных проектов «Жилье и городская среда» и «Образование».</w:t>
      </w:r>
    </w:p>
    <w:p w:rsidR="000C3DC3" w:rsidRPr="00664CF5" w:rsidRDefault="000C3DC3" w:rsidP="000C3DC3">
      <w:pPr>
        <w:shd w:val="clear" w:color="auto" w:fill="FFFFFF"/>
        <w:ind w:firstLine="720"/>
        <w:jc w:val="both"/>
        <w:rPr>
          <w:sz w:val="26"/>
          <w:szCs w:val="26"/>
        </w:rPr>
      </w:pPr>
      <w:r w:rsidRPr="00664CF5">
        <w:rPr>
          <w:sz w:val="26"/>
          <w:szCs w:val="26"/>
        </w:rPr>
        <w:t>По всем контрольным мероприятиям, связанным с ремонтом и строительством, производились осмотры и обследования объектов на предмет фактического выполнения работ, соответствия их проектной и исполнительной документации, в том числе на соответствие установленным нормативам, с применением программного комплекса «ПК Гранд-Смета».</w:t>
      </w:r>
    </w:p>
    <w:p w:rsidR="000C3DC3" w:rsidRPr="00664CF5" w:rsidRDefault="000C3DC3" w:rsidP="000C3DC3">
      <w:pPr>
        <w:shd w:val="clear" w:color="auto" w:fill="FFFFFF"/>
        <w:ind w:firstLine="720"/>
        <w:jc w:val="both"/>
        <w:rPr>
          <w:sz w:val="26"/>
          <w:szCs w:val="26"/>
        </w:rPr>
      </w:pPr>
      <w:r w:rsidRPr="00664CF5">
        <w:rPr>
          <w:sz w:val="26"/>
          <w:szCs w:val="26"/>
        </w:rPr>
        <w:t xml:space="preserve">Всего в отчётном периоде специалистами Контрольно-счетной палаты проведено </w:t>
      </w:r>
      <w:r w:rsidRPr="00664CF5">
        <w:rPr>
          <w:sz w:val="26"/>
          <w:szCs w:val="26"/>
          <w:shd w:val="clear" w:color="auto" w:fill="FFFFFF"/>
        </w:rPr>
        <w:t>18 обследований</w:t>
      </w:r>
      <w:r w:rsidRPr="00664CF5">
        <w:rPr>
          <w:sz w:val="26"/>
          <w:szCs w:val="26"/>
        </w:rPr>
        <w:t xml:space="preserve"> объектов контроля, по результатам которых составлены акты обмера (осмотра).</w:t>
      </w:r>
    </w:p>
    <w:p w:rsidR="000C3DC3" w:rsidRPr="00664CF5" w:rsidRDefault="000C3DC3" w:rsidP="000C3DC3">
      <w:pPr>
        <w:ind w:firstLine="720"/>
        <w:jc w:val="both"/>
        <w:rPr>
          <w:sz w:val="26"/>
          <w:szCs w:val="26"/>
        </w:rPr>
      </w:pPr>
      <w:r w:rsidRPr="00664CF5">
        <w:rPr>
          <w:sz w:val="26"/>
          <w:szCs w:val="26"/>
        </w:rPr>
        <w:t>Проверено и проанализировано использование бюджетных средств на сумму 2 968 666,4 тыс. рублей, что составляет 35,5% от общего объёма расходов бюджета муниципального образования на 2023 год (8 376 263,6 тыс. рублей). В том числе проверено использование муниципального имущества балансовой стоимостью 3</w:t>
      </w:r>
      <w:r w:rsidRPr="00664CF5">
        <w:rPr>
          <w:sz w:val="26"/>
          <w:szCs w:val="26"/>
          <w:lang w:val="en-US"/>
        </w:rPr>
        <w:t> </w:t>
      </w:r>
      <w:r w:rsidRPr="00664CF5">
        <w:rPr>
          <w:sz w:val="26"/>
          <w:szCs w:val="26"/>
        </w:rPr>
        <w:t xml:space="preserve">274,9 тыс. рублей. </w:t>
      </w:r>
    </w:p>
    <w:p w:rsidR="000C3DC3" w:rsidRPr="00664CF5" w:rsidRDefault="000C3DC3" w:rsidP="000C3DC3">
      <w:pPr>
        <w:ind w:firstLine="720"/>
        <w:jc w:val="both"/>
        <w:rPr>
          <w:sz w:val="26"/>
          <w:szCs w:val="26"/>
        </w:rPr>
      </w:pPr>
      <w:r w:rsidRPr="00664CF5">
        <w:rPr>
          <w:sz w:val="26"/>
          <w:szCs w:val="26"/>
        </w:rPr>
        <w:t>По результатам контрольных мероприятий Контрольно-счетной палатой выявлено 1 021 нарушение и недостатки на общую сумму 11 886,1 тыс. рублей (или 0,4% от общего объёма проверенных средств), в том числе:</w:t>
      </w:r>
    </w:p>
    <w:p w:rsidR="000C3DC3" w:rsidRPr="00664CF5" w:rsidRDefault="000C3DC3" w:rsidP="000C3DC3">
      <w:pPr>
        <w:ind w:firstLine="720"/>
        <w:jc w:val="both"/>
        <w:rPr>
          <w:sz w:val="26"/>
          <w:szCs w:val="26"/>
        </w:rPr>
      </w:pPr>
      <w:r w:rsidRPr="00664CF5">
        <w:rPr>
          <w:sz w:val="26"/>
          <w:szCs w:val="26"/>
        </w:rPr>
        <w:t>9 488,7 тыс. рублей – нарушения при формировании и исполнении бюджета, которые составили 79,8% от общей суммы выявленных нарушений;</w:t>
      </w:r>
    </w:p>
    <w:p w:rsidR="000C3DC3" w:rsidRPr="00664CF5" w:rsidRDefault="000C3DC3" w:rsidP="000C3DC3">
      <w:pPr>
        <w:ind w:firstLine="720"/>
        <w:jc w:val="both"/>
        <w:rPr>
          <w:sz w:val="26"/>
          <w:szCs w:val="26"/>
        </w:rPr>
      </w:pPr>
      <w:r w:rsidRPr="00664CF5">
        <w:rPr>
          <w:sz w:val="26"/>
          <w:szCs w:val="26"/>
        </w:rPr>
        <w:t xml:space="preserve">573,8 тыс. рублей - нарушения ведения бухгалтерского учёта, составления и представления бухгалтерской (финансовой) отчётности (4,8% от общей суммы выявленных нарушений); </w:t>
      </w:r>
    </w:p>
    <w:p w:rsidR="000C3DC3" w:rsidRPr="00664CF5" w:rsidRDefault="000C3DC3" w:rsidP="000C3DC3">
      <w:pPr>
        <w:ind w:firstLine="720"/>
        <w:jc w:val="both"/>
        <w:rPr>
          <w:sz w:val="26"/>
          <w:szCs w:val="26"/>
        </w:rPr>
      </w:pPr>
      <w:r w:rsidRPr="00664CF5">
        <w:rPr>
          <w:sz w:val="26"/>
          <w:szCs w:val="26"/>
        </w:rPr>
        <w:t>539,0 тыс. рублей - нарушения в сфере управления и распоряжения муниципальной собственностью (4,5% от общей суммы выявленных нарушений);</w:t>
      </w:r>
    </w:p>
    <w:p w:rsidR="000C3DC3" w:rsidRPr="00664CF5" w:rsidRDefault="000C3DC3" w:rsidP="000C3DC3">
      <w:pPr>
        <w:ind w:firstLine="720"/>
        <w:jc w:val="both"/>
        <w:rPr>
          <w:sz w:val="26"/>
          <w:szCs w:val="26"/>
        </w:rPr>
      </w:pPr>
      <w:r w:rsidRPr="00664CF5">
        <w:rPr>
          <w:sz w:val="26"/>
          <w:szCs w:val="26"/>
        </w:rPr>
        <w:t>1 027,7 тыс. рублей - нарушения при осуществлении государственных (муниципальных) закупок и закупок отдельными видами юридических лиц (8,7% от общей суммы выявленных нарушений);</w:t>
      </w:r>
    </w:p>
    <w:p w:rsidR="000C3DC3" w:rsidRPr="00664CF5" w:rsidRDefault="000C3DC3" w:rsidP="000C3DC3">
      <w:pPr>
        <w:ind w:firstLine="720"/>
        <w:jc w:val="both"/>
        <w:rPr>
          <w:sz w:val="26"/>
          <w:szCs w:val="26"/>
        </w:rPr>
      </w:pPr>
      <w:r w:rsidRPr="00664CF5">
        <w:rPr>
          <w:sz w:val="26"/>
          <w:szCs w:val="26"/>
        </w:rPr>
        <w:t>76,9 тыс. рублей – нецелевое использование бюджетных средств (0,7% от общей суммы выявленных нарушений), в части приобретения товаров, не соответствующих целям предоставления средств из бюджета города.</w:t>
      </w:r>
    </w:p>
    <w:p w:rsidR="000C3DC3" w:rsidRPr="00664CF5" w:rsidRDefault="000C3DC3" w:rsidP="000C3DC3">
      <w:pPr>
        <w:ind w:firstLine="720"/>
        <w:jc w:val="both"/>
        <w:rPr>
          <w:sz w:val="26"/>
          <w:szCs w:val="26"/>
        </w:rPr>
      </w:pPr>
      <w:r w:rsidRPr="00664CF5">
        <w:rPr>
          <w:sz w:val="26"/>
          <w:szCs w:val="26"/>
        </w:rPr>
        <w:t>180,0 тыс. рублей - неэффективное (безрезультатное) использование бюджетных средств (1,5% от общей суммы выявленных нарушений)</w:t>
      </w:r>
      <w:r w:rsidRPr="00664CF5">
        <w:t xml:space="preserve"> </w:t>
      </w:r>
      <w:r w:rsidRPr="00664CF5">
        <w:rPr>
          <w:sz w:val="26"/>
          <w:szCs w:val="26"/>
        </w:rPr>
        <w:t xml:space="preserve">выразившееся в разработке и оплате проектно-сметной документации, необходимой для сноса домов, после выполнения работ по сносу 3-х жилых домов. </w:t>
      </w:r>
    </w:p>
    <w:p w:rsidR="000C3DC3" w:rsidRPr="00664CF5" w:rsidRDefault="000C3DC3" w:rsidP="000C3DC3">
      <w:pPr>
        <w:ind w:firstLine="720"/>
        <w:jc w:val="both"/>
        <w:rPr>
          <w:sz w:val="26"/>
          <w:szCs w:val="26"/>
        </w:rPr>
      </w:pPr>
      <w:r w:rsidRPr="00664CF5">
        <w:rPr>
          <w:sz w:val="26"/>
          <w:szCs w:val="26"/>
          <w:shd w:val="clear" w:color="auto" w:fill="FFFFFF"/>
        </w:rPr>
        <w:t>Основными нарушениями при формировании и исполнении бюджета,</w:t>
      </w:r>
      <w:r w:rsidRPr="00664CF5">
        <w:rPr>
          <w:sz w:val="26"/>
          <w:szCs w:val="26"/>
        </w:rPr>
        <w:t xml:space="preserve"> отмеченными Контрольно-счетной палатой по результатам проверок, являлись:</w:t>
      </w:r>
    </w:p>
    <w:p w:rsidR="000C3DC3" w:rsidRPr="00664CF5" w:rsidRDefault="000C3DC3" w:rsidP="000C3DC3">
      <w:pPr>
        <w:shd w:val="clear" w:color="auto" w:fill="FFFFFF"/>
        <w:ind w:firstLine="720"/>
        <w:jc w:val="both"/>
        <w:rPr>
          <w:sz w:val="26"/>
          <w:szCs w:val="26"/>
          <w:shd w:val="clear" w:color="auto" w:fill="FFFFFF"/>
        </w:rPr>
      </w:pPr>
      <w:r w:rsidRPr="00664CF5">
        <w:rPr>
          <w:sz w:val="26"/>
          <w:szCs w:val="26"/>
          <w:shd w:val="clear" w:color="auto" w:fill="FFFFFF"/>
        </w:rPr>
        <w:t>- нарушения порядка формирования и (или) финансового обеспечения выполнения муниципального задания на оказание муниципальных услуг</w:t>
      </w:r>
      <w:r w:rsidRPr="00664CF5">
        <w:rPr>
          <w:sz w:val="26"/>
          <w:szCs w:val="26"/>
          <w:shd w:val="clear" w:color="auto" w:fill="E2EFD9"/>
        </w:rPr>
        <w:t xml:space="preserve"> </w:t>
      </w:r>
      <w:r w:rsidRPr="00664CF5">
        <w:rPr>
          <w:sz w:val="26"/>
          <w:szCs w:val="26"/>
          <w:shd w:val="clear" w:color="auto" w:fill="FFFFFF"/>
        </w:rPr>
        <w:t>(выполнение работ) муниципальными учреждениями;</w:t>
      </w:r>
    </w:p>
    <w:p w:rsidR="000C3DC3" w:rsidRPr="00664CF5" w:rsidRDefault="000C3DC3" w:rsidP="000C3DC3">
      <w:pPr>
        <w:shd w:val="clear" w:color="auto" w:fill="FFFFFF"/>
        <w:ind w:firstLine="720"/>
        <w:jc w:val="both"/>
        <w:rPr>
          <w:sz w:val="26"/>
          <w:szCs w:val="26"/>
          <w:shd w:val="clear" w:color="auto" w:fill="E2EFD9"/>
        </w:rPr>
      </w:pPr>
      <w:r w:rsidRPr="00664CF5">
        <w:rPr>
          <w:sz w:val="26"/>
          <w:szCs w:val="26"/>
          <w:shd w:val="clear" w:color="auto" w:fill="FFFFFF"/>
        </w:rPr>
        <w:t>- нарушения порядка предоставления из бюджета, в соответствии с</w:t>
      </w:r>
      <w:r w:rsidRPr="00664CF5">
        <w:rPr>
          <w:sz w:val="26"/>
          <w:szCs w:val="26"/>
          <w:shd w:val="clear" w:color="auto" w:fill="E2EFD9"/>
        </w:rPr>
        <w:t xml:space="preserve"> </w:t>
      </w:r>
      <w:r w:rsidRPr="00664CF5">
        <w:rPr>
          <w:sz w:val="26"/>
          <w:szCs w:val="26"/>
          <w:shd w:val="clear" w:color="auto" w:fill="FFFFFF"/>
        </w:rPr>
        <w:t>решениями местной администрации, грантов в форме субсидий юридическим</w:t>
      </w:r>
      <w:r w:rsidRPr="00664CF5">
        <w:rPr>
          <w:sz w:val="26"/>
          <w:szCs w:val="26"/>
          <w:shd w:val="clear" w:color="auto" w:fill="E2EFD9"/>
        </w:rPr>
        <w:t xml:space="preserve"> </w:t>
      </w:r>
      <w:r w:rsidRPr="00664CF5">
        <w:rPr>
          <w:sz w:val="26"/>
          <w:szCs w:val="26"/>
          <w:shd w:val="clear" w:color="auto" w:fill="FFFFFF"/>
        </w:rPr>
        <w:lastRenderedPageBreak/>
        <w:t>лицам (за исключением государственных (муниципальных) учреждений),</w:t>
      </w:r>
      <w:r w:rsidRPr="00664CF5">
        <w:rPr>
          <w:sz w:val="26"/>
          <w:szCs w:val="26"/>
          <w:shd w:val="clear" w:color="auto" w:fill="E2EFD9"/>
        </w:rPr>
        <w:t xml:space="preserve"> </w:t>
      </w:r>
      <w:r w:rsidRPr="00664CF5">
        <w:rPr>
          <w:sz w:val="26"/>
          <w:szCs w:val="26"/>
          <w:shd w:val="clear" w:color="auto" w:fill="FFFFFF"/>
        </w:rPr>
        <w:t>индивидуальным предпринимателям, физическим лицам;</w:t>
      </w:r>
    </w:p>
    <w:p w:rsidR="000C3DC3" w:rsidRPr="00664CF5" w:rsidRDefault="000C3DC3" w:rsidP="000C3DC3">
      <w:pPr>
        <w:shd w:val="clear" w:color="auto" w:fill="FFFFFF"/>
        <w:ind w:firstLine="720"/>
        <w:jc w:val="both"/>
        <w:rPr>
          <w:sz w:val="26"/>
          <w:szCs w:val="26"/>
        </w:rPr>
      </w:pPr>
      <w:r w:rsidRPr="00664CF5">
        <w:rPr>
          <w:sz w:val="26"/>
          <w:szCs w:val="26"/>
        </w:rPr>
        <w:t>- нарушение порядка определения объёма и (или) условий предоставления из бюджета субсидий муниципальным бюджетным и автономным учреждениям, индивидуальным предпринимателям, физическим лицам – производителям товаров, работ, услуг</w:t>
      </w:r>
      <w:r>
        <w:rPr>
          <w:sz w:val="26"/>
          <w:szCs w:val="26"/>
        </w:rPr>
        <w:t>;</w:t>
      </w:r>
      <w:r w:rsidRPr="00664CF5">
        <w:rPr>
          <w:sz w:val="26"/>
          <w:szCs w:val="26"/>
        </w:rPr>
        <w:t xml:space="preserve"> </w:t>
      </w:r>
    </w:p>
    <w:p w:rsidR="000C3DC3" w:rsidRPr="00664CF5" w:rsidRDefault="000C3DC3" w:rsidP="000C3DC3">
      <w:pPr>
        <w:shd w:val="clear" w:color="auto" w:fill="FFFFFF"/>
        <w:ind w:firstLine="720"/>
        <w:jc w:val="both"/>
        <w:rPr>
          <w:sz w:val="26"/>
          <w:szCs w:val="26"/>
        </w:rPr>
      </w:pPr>
      <w:r w:rsidRPr="00664CF5">
        <w:rPr>
          <w:sz w:val="26"/>
          <w:szCs w:val="26"/>
        </w:rPr>
        <w:t>- нарушение порядка и условий оплаты труда сотрудников муниципальных бюджетных учреждений;</w:t>
      </w:r>
    </w:p>
    <w:p w:rsidR="000C3DC3" w:rsidRPr="00664CF5" w:rsidRDefault="000C3DC3" w:rsidP="000C3DC3">
      <w:pPr>
        <w:ind w:firstLine="720"/>
        <w:jc w:val="both"/>
        <w:rPr>
          <w:sz w:val="26"/>
          <w:szCs w:val="26"/>
        </w:rPr>
      </w:pPr>
      <w:r w:rsidRPr="00664CF5">
        <w:rPr>
          <w:sz w:val="26"/>
          <w:szCs w:val="26"/>
        </w:rPr>
        <w:t>- нарушение порядка формирования и исполнения плана финансово-хозяйственной деятельности муниципальными бюджетными (автономными) учреждениями;</w:t>
      </w:r>
    </w:p>
    <w:p w:rsidR="000C3DC3" w:rsidRPr="00664CF5" w:rsidRDefault="000C3DC3" w:rsidP="000C3DC3">
      <w:pPr>
        <w:ind w:firstLine="720"/>
        <w:jc w:val="both"/>
        <w:rPr>
          <w:sz w:val="26"/>
          <w:szCs w:val="26"/>
        </w:rPr>
      </w:pPr>
      <w:r w:rsidRPr="00664CF5">
        <w:rPr>
          <w:sz w:val="26"/>
          <w:szCs w:val="26"/>
        </w:rPr>
        <w:t>- нарушение порядка строительства, реконструкции, капитального ремонта объектов капитального строительства и ввода объектов в эксплуатацию.</w:t>
      </w:r>
    </w:p>
    <w:p w:rsidR="000C3DC3" w:rsidRPr="00664CF5" w:rsidRDefault="000C3DC3" w:rsidP="000C3DC3">
      <w:pPr>
        <w:shd w:val="clear" w:color="auto" w:fill="FFFFFF"/>
        <w:ind w:firstLine="720"/>
        <w:jc w:val="both"/>
        <w:rPr>
          <w:sz w:val="26"/>
          <w:szCs w:val="26"/>
          <w:highlight w:val="lightGray"/>
        </w:rPr>
      </w:pPr>
      <w:r w:rsidRPr="00664CF5">
        <w:rPr>
          <w:sz w:val="26"/>
          <w:szCs w:val="26"/>
        </w:rPr>
        <w:t xml:space="preserve">Основными нарушениями порядка ведения бухгалтерского учёта, составления и представления бухгалтерской (финансовой) отчётности стали: </w:t>
      </w:r>
    </w:p>
    <w:p w:rsidR="000C3DC3" w:rsidRPr="00664CF5" w:rsidRDefault="000C3DC3" w:rsidP="000C3DC3">
      <w:pPr>
        <w:shd w:val="clear" w:color="auto" w:fill="FFFFFF"/>
        <w:ind w:firstLine="720"/>
        <w:jc w:val="both"/>
        <w:rPr>
          <w:sz w:val="26"/>
          <w:szCs w:val="26"/>
        </w:rPr>
      </w:pPr>
      <w:r w:rsidRPr="00664CF5">
        <w:rPr>
          <w:sz w:val="26"/>
          <w:szCs w:val="26"/>
        </w:rPr>
        <w:t>- нарушения требований, предъявляемых к оформлению фактов хозяйственной жизни экономического субъекта первичными учетными документами;</w:t>
      </w:r>
    </w:p>
    <w:p w:rsidR="000C3DC3" w:rsidRPr="00664CF5" w:rsidRDefault="000C3DC3" w:rsidP="000C3DC3">
      <w:pPr>
        <w:shd w:val="clear" w:color="auto" w:fill="FFFFFF"/>
        <w:ind w:firstLine="720"/>
        <w:jc w:val="both"/>
        <w:rPr>
          <w:sz w:val="26"/>
          <w:szCs w:val="26"/>
        </w:rPr>
      </w:pPr>
      <w:r w:rsidRPr="00664CF5">
        <w:rPr>
          <w:sz w:val="26"/>
          <w:szCs w:val="26"/>
        </w:rPr>
        <w:t>- нарушения руководителем экономического субъекта требований организации ведения бухгалтерского учёта и требований по оформлению учетной политики;</w:t>
      </w:r>
    </w:p>
    <w:p w:rsidR="000C3DC3" w:rsidRPr="00664CF5" w:rsidRDefault="000C3DC3" w:rsidP="000C3DC3">
      <w:pPr>
        <w:shd w:val="clear" w:color="auto" w:fill="FFFFFF"/>
        <w:ind w:firstLine="720"/>
        <w:jc w:val="both"/>
        <w:rPr>
          <w:sz w:val="26"/>
          <w:szCs w:val="26"/>
        </w:rPr>
      </w:pPr>
      <w:r w:rsidRPr="00664CF5">
        <w:rPr>
          <w:sz w:val="26"/>
          <w:szCs w:val="26"/>
        </w:rPr>
        <w:t>- нарушение требований, предъявляемых к организации и осуществлению внутреннего контроля фактов хозяйственной жизни экономического субъекта;</w:t>
      </w:r>
    </w:p>
    <w:p w:rsidR="000C3DC3" w:rsidRPr="00664CF5" w:rsidRDefault="000C3DC3" w:rsidP="000C3DC3">
      <w:pPr>
        <w:shd w:val="clear" w:color="auto" w:fill="FFFFFF"/>
        <w:ind w:firstLine="720"/>
        <w:jc w:val="both"/>
        <w:rPr>
          <w:sz w:val="26"/>
          <w:szCs w:val="26"/>
        </w:rPr>
      </w:pPr>
      <w:r w:rsidRPr="00664CF5">
        <w:rPr>
          <w:sz w:val="26"/>
          <w:szCs w:val="26"/>
        </w:rPr>
        <w:t>- нарушение общих требований к бухгалтерской (финансовой) отчётности экономического субъекта, в том числе к ее составу.</w:t>
      </w:r>
    </w:p>
    <w:p w:rsidR="000C3DC3" w:rsidRPr="00664CF5" w:rsidRDefault="000C3DC3" w:rsidP="000C3DC3">
      <w:pPr>
        <w:shd w:val="clear" w:color="auto" w:fill="FFFFFF"/>
        <w:ind w:firstLine="720"/>
        <w:jc w:val="both"/>
        <w:rPr>
          <w:sz w:val="26"/>
          <w:szCs w:val="26"/>
        </w:rPr>
      </w:pPr>
      <w:r w:rsidRPr="00664CF5">
        <w:rPr>
          <w:sz w:val="26"/>
          <w:szCs w:val="26"/>
        </w:rPr>
        <w:t>В сфере управления и распоряжения муниципальной собственностью допущены следующие нарушения:</w:t>
      </w:r>
    </w:p>
    <w:p w:rsidR="000C3DC3" w:rsidRPr="00664CF5" w:rsidRDefault="000C3DC3" w:rsidP="000C3DC3">
      <w:pPr>
        <w:shd w:val="clear" w:color="auto" w:fill="FFFFFF"/>
        <w:ind w:firstLine="720"/>
        <w:jc w:val="both"/>
        <w:rPr>
          <w:sz w:val="26"/>
          <w:szCs w:val="26"/>
        </w:rPr>
      </w:pPr>
      <w:r w:rsidRPr="00664CF5">
        <w:rPr>
          <w:sz w:val="26"/>
          <w:szCs w:val="26"/>
        </w:rPr>
        <w:t>- несоблюдение правообладателем порядка предоставления сведений для внесения в реестр муниципального имущества, исключения из реестра муниципального имущества;</w:t>
      </w:r>
    </w:p>
    <w:p w:rsidR="000C3DC3" w:rsidRPr="00664CF5" w:rsidRDefault="000C3DC3" w:rsidP="000C3DC3">
      <w:pPr>
        <w:shd w:val="clear" w:color="auto" w:fill="FFFFFF"/>
        <w:ind w:firstLine="720"/>
        <w:jc w:val="both"/>
        <w:rPr>
          <w:sz w:val="26"/>
          <w:szCs w:val="26"/>
        </w:rPr>
      </w:pPr>
      <w:r w:rsidRPr="00664CF5">
        <w:rPr>
          <w:sz w:val="26"/>
          <w:szCs w:val="26"/>
        </w:rPr>
        <w:t xml:space="preserve">- неправомерное предоставление муниципального имущества в безвозмездное пользование. </w:t>
      </w:r>
    </w:p>
    <w:p w:rsidR="000C3DC3" w:rsidRPr="00664CF5" w:rsidRDefault="000C3DC3" w:rsidP="000C3DC3">
      <w:pPr>
        <w:shd w:val="clear" w:color="auto" w:fill="FFFFFF"/>
        <w:ind w:firstLine="720"/>
        <w:jc w:val="both"/>
        <w:rPr>
          <w:sz w:val="26"/>
          <w:szCs w:val="26"/>
        </w:rPr>
      </w:pPr>
      <w:r w:rsidRPr="00664CF5">
        <w:rPr>
          <w:sz w:val="26"/>
          <w:szCs w:val="26"/>
        </w:rPr>
        <w:t>Основные нарушения, допущенные при осуществлении государственных (муниципальных) закупок и закупок отдельными видами юридических лиц:</w:t>
      </w:r>
    </w:p>
    <w:p w:rsidR="000C3DC3" w:rsidRPr="00664CF5" w:rsidRDefault="000C3DC3" w:rsidP="000C3DC3">
      <w:pPr>
        <w:shd w:val="clear" w:color="auto" w:fill="FFFFFF"/>
        <w:ind w:firstLine="720"/>
        <w:jc w:val="both"/>
        <w:rPr>
          <w:sz w:val="26"/>
          <w:szCs w:val="26"/>
        </w:rPr>
      </w:pPr>
      <w:r w:rsidRPr="00664CF5">
        <w:rPr>
          <w:sz w:val="26"/>
          <w:szCs w:val="26"/>
        </w:rPr>
        <w:t>- нарушения порядка формирования контрактной службы (назначения контрактных управляющих);</w:t>
      </w:r>
    </w:p>
    <w:p w:rsidR="000C3DC3" w:rsidRPr="00664CF5" w:rsidRDefault="000C3DC3" w:rsidP="000C3DC3">
      <w:pPr>
        <w:shd w:val="clear" w:color="auto" w:fill="FFFFFF"/>
        <w:ind w:firstLine="720"/>
        <w:jc w:val="both"/>
        <w:rPr>
          <w:sz w:val="26"/>
          <w:szCs w:val="26"/>
        </w:rPr>
      </w:pPr>
      <w:r w:rsidRPr="00664CF5">
        <w:rPr>
          <w:sz w:val="26"/>
          <w:szCs w:val="26"/>
        </w:rPr>
        <w:t>-</w:t>
      </w:r>
      <w:r w:rsidRPr="00664CF5">
        <w:t xml:space="preserve"> </w:t>
      </w:r>
      <w:r w:rsidRPr="00664CF5">
        <w:rPr>
          <w:sz w:val="26"/>
          <w:szCs w:val="26"/>
        </w:rPr>
        <w:t>нарушения при обосновании и определении цены контракта (договора), заключаемого с единственным поставщиком;</w:t>
      </w:r>
    </w:p>
    <w:p w:rsidR="000C3DC3" w:rsidRPr="00664CF5" w:rsidRDefault="000C3DC3" w:rsidP="000C3DC3">
      <w:pPr>
        <w:shd w:val="clear" w:color="auto" w:fill="FFFFFF"/>
        <w:ind w:firstLine="720"/>
        <w:jc w:val="both"/>
        <w:rPr>
          <w:sz w:val="26"/>
          <w:szCs w:val="26"/>
        </w:rPr>
      </w:pPr>
      <w:r w:rsidRPr="00664CF5">
        <w:rPr>
          <w:sz w:val="26"/>
          <w:szCs w:val="26"/>
        </w:rPr>
        <w:t xml:space="preserve">- 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w:t>
      </w:r>
    </w:p>
    <w:p w:rsidR="000C3DC3" w:rsidRPr="00664CF5" w:rsidRDefault="000C3DC3" w:rsidP="000C3DC3">
      <w:pPr>
        <w:shd w:val="clear" w:color="auto" w:fill="FFFFFF"/>
        <w:ind w:firstLine="720"/>
        <w:jc w:val="both"/>
        <w:rPr>
          <w:sz w:val="26"/>
          <w:szCs w:val="26"/>
        </w:rPr>
      </w:pPr>
      <w:r w:rsidRPr="00664CF5">
        <w:rPr>
          <w:sz w:val="26"/>
          <w:szCs w:val="26"/>
        </w:rPr>
        <w:t>- несоблюдение требований к разработке, утверждению и содержанию документации о закупке;</w:t>
      </w:r>
    </w:p>
    <w:p w:rsidR="000C3DC3" w:rsidRPr="00664CF5" w:rsidRDefault="000C3DC3" w:rsidP="000C3DC3">
      <w:pPr>
        <w:shd w:val="clear" w:color="auto" w:fill="FFFFFF"/>
        <w:ind w:firstLine="720"/>
        <w:jc w:val="both"/>
        <w:rPr>
          <w:sz w:val="26"/>
          <w:szCs w:val="26"/>
        </w:rPr>
      </w:pPr>
      <w:r w:rsidRPr="00664CF5">
        <w:rPr>
          <w:sz w:val="26"/>
          <w:szCs w:val="26"/>
        </w:rPr>
        <w:t>- не включение в контракт (договор) обязательных условий;</w:t>
      </w:r>
    </w:p>
    <w:p w:rsidR="000C3DC3" w:rsidRPr="00664CF5" w:rsidRDefault="000C3DC3" w:rsidP="000C3DC3">
      <w:pPr>
        <w:shd w:val="clear" w:color="auto" w:fill="FFFFFF"/>
        <w:ind w:firstLine="720"/>
        <w:jc w:val="both"/>
        <w:rPr>
          <w:sz w:val="26"/>
          <w:szCs w:val="26"/>
        </w:rPr>
      </w:pPr>
      <w:r w:rsidRPr="00664CF5">
        <w:rPr>
          <w:sz w:val="26"/>
          <w:szCs w:val="26"/>
        </w:rPr>
        <w:lastRenderedPageBreak/>
        <w:t>- нарушения условий реализации контрактов (договоров), в том числе сроков реализации, включая своевременность расчётов по контракту (договору);</w:t>
      </w:r>
    </w:p>
    <w:p w:rsidR="000C3DC3" w:rsidRPr="00664CF5" w:rsidRDefault="000C3DC3" w:rsidP="000C3DC3">
      <w:pPr>
        <w:shd w:val="clear" w:color="auto" w:fill="FFFFFF"/>
        <w:ind w:firstLine="720"/>
        <w:jc w:val="both"/>
        <w:rPr>
          <w:sz w:val="26"/>
          <w:szCs w:val="26"/>
        </w:rPr>
      </w:pPr>
      <w:r w:rsidRPr="00664CF5">
        <w:rPr>
          <w:sz w:val="26"/>
          <w:szCs w:val="26"/>
        </w:rPr>
        <w:t>- приёмка и оплата поставленных товаров, выполненных работ, оказанных услуг, несоответствующих условиям контрактов (договоров).</w:t>
      </w:r>
    </w:p>
    <w:p w:rsidR="000C3DC3" w:rsidRPr="00664CF5" w:rsidRDefault="000C3DC3" w:rsidP="000C3DC3">
      <w:pPr>
        <w:ind w:firstLine="720"/>
        <w:jc w:val="both"/>
        <w:rPr>
          <w:sz w:val="26"/>
          <w:szCs w:val="26"/>
        </w:rPr>
      </w:pPr>
      <w:r w:rsidRPr="00664CF5">
        <w:rPr>
          <w:sz w:val="26"/>
          <w:szCs w:val="26"/>
        </w:rPr>
        <w:t>Всего по результатам рассмотрения материалов контрольных мероприятий в 2023 году устранено 221 нарушение на сумму 5 578,5 тыс. рублей, что составляет 46,9% от общей суммы выявленных нарушений или 58,5% от суммы, подлежащей устранению (9 543,6 тыс. рублей), в том числе обеспечен возврат бюджетных средств в сумме 2 268,8 тыс. рублей, из них:</w:t>
      </w:r>
    </w:p>
    <w:p w:rsidR="000C3DC3" w:rsidRPr="00664CF5" w:rsidRDefault="000C3DC3" w:rsidP="000C3DC3">
      <w:pPr>
        <w:ind w:firstLine="720"/>
        <w:jc w:val="both"/>
        <w:rPr>
          <w:sz w:val="26"/>
          <w:szCs w:val="26"/>
        </w:rPr>
      </w:pPr>
      <w:r w:rsidRPr="00664CF5">
        <w:rPr>
          <w:sz w:val="26"/>
          <w:szCs w:val="26"/>
        </w:rPr>
        <w:t xml:space="preserve">- 1 342,8 тыс. рублей – в бюджет города Когалыма; </w:t>
      </w:r>
    </w:p>
    <w:p w:rsidR="000C3DC3" w:rsidRPr="00664CF5" w:rsidRDefault="000C3DC3" w:rsidP="000C3DC3">
      <w:pPr>
        <w:ind w:firstLine="720"/>
        <w:jc w:val="both"/>
        <w:rPr>
          <w:sz w:val="26"/>
          <w:szCs w:val="26"/>
        </w:rPr>
      </w:pPr>
      <w:r w:rsidRPr="00664CF5">
        <w:rPr>
          <w:sz w:val="26"/>
          <w:szCs w:val="26"/>
        </w:rPr>
        <w:t>- 926,0 тыс. рублей – в муниципальные учреждения.</w:t>
      </w:r>
    </w:p>
    <w:p w:rsidR="000C3DC3" w:rsidRPr="00664CF5" w:rsidRDefault="000C3DC3" w:rsidP="000C3DC3">
      <w:pPr>
        <w:ind w:firstLine="720"/>
        <w:jc w:val="both"/>
        <w:rPr>
          <w:sz w:val="26"/>
          <w:szCs w:val="26"/>
        </w:rPr>
      </w:pPr>
      <w:r w:rsidRPr="00664CF5">
        <w:rPr>
          <w:sz w:val="26"/>
          <w:szCs w:val="26"/>
        </w:rPr>
        <w:t>Кроме этого, по результатам контрольных мероприятий, проведенных в 2022 году, в отчетном году устранены нарушения на сумму 557,8 тыс. рублей, из которых 114,6 тыс. рублей возмещены в бюджет города.</w:t>
      </w:r>
    </w:p>
    <w:p w:rsidR="000C3DC3" w:rsidRPr="00664CF5" w:rsidRDefault="000C3DC3" w:rsidP="000C3DC3">
      <w:pPr>
        <w:ind w:firstLine="720"/>
        <w:jc w:val="both"/>
        <w:rPr>
          <w:sz w:val="10"/>
          <w:szCs w:val="1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1936"/>
        <w:gridCol w:w="1843"/>
        <w:gridCol w:w="1843"/>
      </w:tblGrid>
      <w:tr w:rsidR="000C3DC3" w:rsidRPr="002F2828" w:rsidTr="00A92D1E">
        <w:trPr>
          <w:trHeight w:val="264"/>
        </w:trPr>
        <w:tc>
          <w:tcPr>
            <w:tcW w:w="3167" w:type="dxa"/>
            <w:vMerge w:val="restart"/>
            <w:shd w:val="clear" w:color="auto" w:fill="auto"/>
            <w:vAlign w:val="center"/>
          </w:tcPr>
          <w:p w:rsidR="000C3DC3" w:rsidRPr="002F2828" w:rsidRDefault="000C3DC3" w:rsidP="00A92D1E">
            <w:pPr>
              <w:jc w:val="center"/>
              <w:rPr>
                <w:sz w:val="22"/>
                <w:szCs w:val="22"/>
              </w:rPr>
            </w:pPr>
            <w:r w:rsidRPr="002F2828">
              <w:rPr>
                <w:sz w:val="22"/>
                <w:szCs w:val="22"/>
              </w:rPr>
              <w:t>Показатель</w:t>
            </w:r>
          </w:p>
        </w:tc>
        <w:tc>
          <w:tcPr>
            <w:tcW w:w="5622" w:type="dxa"/>
            <w:gridSpan w:val="3"/>
            <w:shd w:val="clear" w:color="auto" w:fill="auto"/>
            <w:vAlign w:val="center"/>
          </w:tcPr>
          <w:p w:rsidR="000C3DC3" w:rsidRPr="002F2828" w:rsidRDefault="000C3DC3" w:rsidP="00A92D1E">
            <w:pPr>
              <w:jc w:val="center"/>
              <w:rPr>
                <w:sz w:val="22"/>
                <w:szCs w:val="22"/>
              </w:rPr>
            </w:pPr>
            <w:r w:rsidRPr="002F2828">
              <w:rPr>
                <w:sz w:val="22"/>
                <w:szCs w:val="22"/>
              </w:rPr>
              <w:t>Устранено нарушений в 2023 году, тыс. рублей</w:t>
            </w:r>
          </w:p>
        </w:tc>
      </w:tr>
      <w:tr w:rsidR="000C3DC3" w:rsidRPr="002F2828" w:rsidTr="00A92D1E">
        <w:tc>
          <w:tcPr>
            <w:tcW w:w="3167" w:type="dxa"/>
            <w:vMerge/>
            <w:shd w:val="clear" w:color="auto" w:fill="auto"/>
          </w:tcPr>
          <w:p w:rsidR="000C3DC3" w:rsidRPr="002F2828" w:rsidRDefault="000C3DC3" w:rsidP="00A92D1E">
            <w:pPr>
              <w:jc w:val="center"/>
              <w:rPr>
                <w:sz w:val="22"/>
                <w:szCs w:val="22"/>
              </w:rPr>
            </w:pPr>
          </w:p>
        </w:tc>
        <w:tc>
          <w:tcPr>
            <w:tcW w:w="1936" w:type="dxa"/>
            <w:shd w:val="clear" w:color="auto" w:fill="auto"/>
          </w:tcPr>
          <w:p w:rsidR="000C3DC3" w:rsidRPr="002F2828" w:rsidRDefault="000C3DC3" w:rsidP="00A92D1E">
            <w:pPr>
              <w:jc w:val="center"/>
              <w:rPr>
                <w:sz w:val="22"/>
                <w:szCs w:val="22"/>
              </w:rPr>
            </w:pPr>
            <w:r w:rsidRPr="002F2828">
              <w:rPr>
                <w:sz w:val="22"/>
                <w:szCs w:val="22"/>
              </w:rPr>
              <w:t>Всего</w:t>
            </w:r>
          </w:p>
        </w:tc>
        <w:tc>
          <w:tcPr>
            <w:tcW w:w="1843" w:type="dxa"/>
            <w:shd w:val="clear" w:color="auto" w:fill="auto"/>
          </w:tcPr>
          <w:p w:rsidR="000C3DC3" w:rsidRPr="002F2828" w:rsidRDefault="000C3DC3" w:rsidP="00A92D1E">
            <w:pPr>
              <w:jc w:val="center"/>
              <w:rPr>
                <w:sz w:val="22"/>
                <w:szCs w:val="22"/>
              </w:rPr>
            </w:pPr>
            <w:r w:rsidRPr="002F2828">
              <w:rPr>
                <w:sz w:val="22"/>
                <w:szCs w:val="22"/>
              </w:rPr>
              <w:t>по проверкам 2023 года</w:t>
            </w:r>
          </w:p>
        </w:tc>
        <w:tc>
          <w:tcPr>
            <w:tcW w:w="1843" w:type="dxa"/>
            <w:shd w:val="clear" w:color="auto" w:fill="auto"/>
          </w:tcPr>
          <w:p w:rsidR="000C3DC3" w:rsidRPr="002F2828" w:rsidRDefault="000C3DC3" w:rsidP="00A92D1E">
            <w:pPr>
              <w:jc w:val="center"/>
              <w:rPr>
                <w:sz w:val="22"/>
                <w:szCs w:val="22"/>
              </w:rPr>
            </w:pPr>
            <w:r w:rsidRPr="002F2828">
              <w:rPr>
                <w:sz w:val="22"/>
                <w:szCs w:val="22"/>
              </w:rPr>
              <w:t>по проверкам 2022 года</w:t>
            </w:r>
          </w:p>
        </w:tc>
      </w:tr>
      <w:tr w:rsidR="000C3DC3" w:rsidRPr="002F2828" w:rsidTr="00A92D1E">
        <w:tc>
          <w:tcPr>
            <w:tcW w:w="3167" w:type="dxa"/>
            <w:shd w:val="clear" w:color="auto" w:fill="auto"/>
          </w:tcPr>
          <w:p w:rsidR="000C3DC3" w:rsidRPr="002F2828" w:rsidRDefault="000C3DC3" w:rsidP="00A92D1E">
            <w:pPr>
              <w:rPr>
                <w:sz w:val="22"/>
                <w:szCs w:val="22"/>
              </w:rPr>
            </w:pPr>
            <w:r w:rsidRPr="002F2828">
              <w:rPr>
                <w:sz w:val="22"/>
                <w:szCs w:val="22"/>
              </w:rPr>
              <w:t>Устранено всего, из них:</w:t>
            </w:r>
          </w:p>
        </w:tc>
        <w:tc>
          <w:tcPr>
            <w:tcW w:w="1936" w:type="dxa"/>
            <w:tcBorders>
              <w:top w:val="single" w:sz="4" w:space="0" w:color="auto"/>
              <w:left w:val="single" w:sz="4" w:space="0" w:color="auto"/>
              <w:bottom w:val="single" w:sz="4" w:space="0" w:color="auto"/>
              <w:right w:val="single" w:sz="4" w:space="0" w:color="auto"/>
            </w:tcBorders>
            <w:shd w:val="clear" w:color="auto" w:fill="auto"/>
            <w:vAlign w:val="center"/>
          </w:tcPr>
          <w:p w:rsidR="000C3DC3" w:rsidRPr="002F2828" w:rsidRDefault="000C3DC3" w:rsidP="00A92D1E">
            <w:pPr>
              <w:jc w:val="right"/>
              <w:rPr>
                <w:bCs/>
                <w:color w:val="000000"/>
              </w:rPr>
            </w:pPr>
            <w:r w:rsidRPr="002F2828">
              <w:rPr>
                <w:bCs/>
                <w:color w:val="000000"/>
              </w:rPr>
              <w:t>6 465,0</w:t>
            </w:r>
          </w:p>
        </w:tc>
        <w:tc>
          <w:tcPr>
            <w:tcW w:w="1843" w:type="dxa"/>
            <w:tcBorders>
              <w:top w:val="single" w:sz="4" w:space="0" w:color="auto"/>
              <w:left w:val="nil"/>
              <w:bottom w:val="single" w:sz="4" w:space="0" w:color="auto"/>
              <w:right w:val="single" w:sz="4" w:space="0" w:color="auto"/>
            </w:tcBorders>
            <w:shd w:val="clear" w:color="auto" w:fill="auto"/>
            <w:vAlign w:val="center"/>
          </w:tcPr>
          <w:p w:rsidR="000C3DC3" w:rsidRPr="002F2828" w:rsidRDefault="000C3DC3" w:rsidP="00A92D1E">
            <w:pPr>
              <w:jc w:val="right"/>
              <w:rPr>
                <w:bCs/>
                <w:color w:val="000000"/>
              </w:rPr>
            </w:pPr>
            <w:r w:rsidRPr="002F2828">
              <w:rPr>
                <w:bCs/>
                <w:color w:val="000000"/>
              </w:rPr>
              <w:t>5 907,2</w:t>
            </w:r>
          </w:p>
        </w:tc>
        <w:tc>
          <w:tcPr>
            <w:tcW w:w="1843" w:type="dxa"/>
            <w:tcBorders>
              <w:top w:val="single" w:sz="4" w:space="0" w:color="auto"/>
              <w:left w:val="nil"/>
              <w:bottom w:val="single" w:sz="4" w:space="0" w:color="auto"/>
              <w:right w:val="single" w:sz="4" w:space="0" w:color="auto"/>
            </w:tcBorders>
            <w:shd w:val="clear" w:color="auto" w:fill="auto"/>
            <w:vAlign w:val="center"/>
          </w:tcPr>
          <w:p w:rsidR="000C3DC3" w:rsidRPr="002F2828" w:rsidRDefault="000C3DC3" w:rsidP="00A92D1E">
            <w:pPr>
              <w:jc w:val="right"/>
              <w:rPr>
                <w:bCs/>
                <w:color w:val="000000"/>
              </w:rPr>
            </w:pPr>
            <w:r w:rsidRPr="002F2828">
              <w:rPr>
                <w:bCs/>
                <w:color w:val="000000"/>
              </w:rPr>
              <w:t>557,8</w:t>
            </w:r>
          </w:p>
        </w:tc>
      </w:tr>
      <w:tr w:rsidR="000C3DC3" w:rsidRPr="002F2828" w:rsidTr="00A92D1E">
        <w:tc>
          <w:tcPr>
            <w:tcW w:w="3167" w:type="dxa"/>
            <w:shd w:val="clear" w:color="auto" w:fill="auto"/>
          </w:tcPr>
          <w:p w:rsidR="000C3DC3" w:rsidRPr="002F2828" w:rsidRDefault="000C3DC3" w:rsidP="00A92D1E">
            <w:pPr>
              <w:ind w:firstLine="284"/>
              <w:rPr>
                <w:sz w:val="22"/>
                <w:szCs w:val="22"/>
              </w:rPr>
            </w:pPr>
            <w:r w:rsidRPr="002F2828">
              <w:rPr>
                <w:sz w:val="22"/>
                <w:szCs w:val="22"/>
              </w:rPr>
              <w:t xml:space="preserve"> - возмещено в бюджет</w:t>
            </w:r>
          </w:p>
        </w:tc>
        <w:tc>
          <w:tcPr>
            <w:tcW w:w="1936" w:type="dxa"/>
            <w:tcBorders>
              <w:top w:val="nil"/>
              <w:left w:val="single" w:sz="4" w:space="0" w:color="auto"/>
              <w:bottom w:val="single" w:sz="4" w:space="0" w:color="auto"/>
              <w:right w:val="single" w:sz="4" w:space="0" w:color="auto"/>
            </w:tcBorders>
            <w:shd w:val="clear" w:color="auto" w:fill="auto"/>
            <w:vAlign w:val="center"/>
          </w:tcPr>
          <w:p w:rsidR="000C3DC3" w:rsidRPr="002F2828" w:rsidRDefault="000C3DC3" w:rsidP="00A92D1E">
            <w:pPr>
              <w:jc w:val="right"/>
              <w:rPr>
                <w:color w:val="000000"/>
              </w:rPr>
            </w:pPr>
            <w:r w:rsidRPr="002F2828">
              <w:rPr>
                <w:color w:val="000000"/>
              </w:rPr>
              <w:t>1 457,4</w:t>
            </w:r>
          </w:p>
        </w:tc>
        <w:tc>
          <w:tcPr>
            <w:tcW w:w="1843" w:type="dxa"/>
            <w:tcBorders>
              <w:top w:val="nil"/>
              <w:left w:val="nil"/>
              <w:bottom w:val="single" w:sz="4" w:space="0" w:color="auto"/>
              <w:right w:val="single" w:sz="4" w:space="0" w:color="auto"/>
            </w:tcBorders>
            <w:shd w:val="clear" w:color="auto" w:fill="auto"/>
            <w:vAlign w:val="center"/>
          </w:tcPr>
          <w:p w:rsidR="000C3DC3" w:rsidRPr="002F2828" w:rsidRDefault="000C3DC3" w:rsidP="00A92D1E">
            <w:pPr>
              <w:jc w:val="right"/>
              <w:rPr>
                <w:color w:val="000000"/>
              </w:rPr>
            </w:pPr>
            <w:r w:rsidRPr="002F2828">
              <w:rPr>
                <w:color w:val="000000"/>
              </w:rPr>
              <w:t>1 342,8</w:t>
            </w:r>
          </w:p>
        </w:tc>
        <w:tc>
          <w:tcPr>
            <w:tcW w:w="1843" w:type="dxa"/>
            <w:tcBorders>
              <w:top w:val="nil"/>
              <w:left w:val="nil"/>
              <w:bottom w:val="single" w:sz="4" w:space="0" w:color="auto"/>
              <w:right w:val="single" w:sz="4" w:space="0" w:color="auto"/>
            </w:tcBorders>
            <w:shd w:val="clear" w:color="auto" w:fill="auto"/>
            <w:vAlign w:val="center"/>
          </w:tcPr>
          <w:p w:rsidR="000C3DC3" w:rsidRPr="002F2828" w:rsidRDefault="000C3DC3" w:rsidP="00A92D1E">
            <w:pPr>
              <w:jc w:val="right"/>
              <w:rPr>
                <w:color w:val="000000"/>
              </w:rPr>
            </w:pPr>
            <w:r w:rsidRPr="002F2828">
              <w:rPr>
                <w:color w:val="000000"/>
              </w:rPr>
              <w:t>114,6</w:t>
            </w:r>
          </w:p>
        </w:tc>
      </w:tr>
      <w:tr w:rsidR="000C3DC3" w:rsidRPr="002F2828" w:rsidTr="00A92D1E">
        <w:tc>
          <w:tcPr>
            <w:tcW w:w="3167" w:type="dxa"/>
            <w:shd w:val="clear" w:color="auto" w:fill="auto"/>
          </w:tcPr>
          <w:p w:rsidR="000C3DC3" w:rsidRPr="002F2828" w:rsidRDefault="000C3DC3" w:rsidP="00A92D1E">
            <w:pPr>
              <w:ind w:firstLine="284"/>
              <w:rPr>
                <w:sz w:val="22"/>
                <w:szCs w:val="22"/>
              </w:rPr>
            </w:pPr>
            <w:r w:rsidRPr="002F2828">
              <w:rPr>
                <w:sz w:val="22"/>
                <w:szCs w:val="22"/>
              </w:rPr>
              <w:t xml:space="preserve"> - возмещено в учреждения</w:t>
            </w:r>
          </w:p>
        </w:tc>
        <w:tc>
          <w:tcPr>
            <w:tcW w:w="1936" w:type="dxa"/>
            <w:tcBorders>
              <w:top w:val="nil"/>
              <w:left w:val="single" w:sz="4" w:space="0" w:color="auto"/>
              <w:bottom w:val="single" w:sz="4" w:space="0" w:color="auto"/>
              <w:right w:val="single" w:sz="4" w:space="0" w:color="auto"/>
            </w:tcBorders>
            <w:shd w:val="clear" w:color="auto" w:fill="auto"/>
            <w:vAlign w:val="center"/>
          </w:tcPr>
          <w:p w:rsidR="000C3DC3" w:rsidRPr="002F2828" w:rsidRDefault="000C3DC3" w:rsidP="00A92D1E">
            <w:pPr>
              <w:jc w:val="right"/>
              <w:rPr>
                <w:color w:val="000000"/>
              </w:rPr>
            </w:pPr>
            <w:r w:rsidRPr="002F2828">
              <w:rPr>
                <w:color w:val="000000"/>
              </w:rPr>
              <w:t>926,0</w:t>
            </w:r>
          </w:p>
        </w:tc>
        <w:tc>
          <w:tcPr>
            <w:tcW w:w="1843" w:type="dxa"/>
            <w:tcBorders>
              <w:top w:val="nil"/>
              <w:left w:val="nil"/>
              <w:bottom w:val="single" w:sz="4" w:space="0" w:color="auto"/>
              <w:right w:val="single" w:sz="4" w:space="0" w:color="auto"/>
            </w:tcBorders>
            <w:shd w:val="clear" w:color="auto" w:fill="auto"/>
            <w:vAlign w:val="center"/>
          </w:tcPr>
          <w:p w:rsidR="000C3DC3" w:rsidRPr="002F2828" w:rsidRDefault="000C3DC3" w:rsidP="00A92D1E">
            <w:pPr>
              <w:jc w:val="right"/>
              <w:rPr>
                <w:color w:val="000000"/>
              </w:rPr>
            </w:pPr>
            <w:r w:rsidRPr="002F2828">
              <w:rPr>
                <w:color w:val="000000"/>
              </w:rPr>
              <w:t>926,0</w:t>
            </w:r>
          </w:p>
        </w:tc>
        <w:tc>
          <w:tcPr>
            <w:tcW w:w="1843" w:type="dxa"/>
            <w:tcBorders>
              <w:top w:val="nil"/>
              <w:left w:val="nil"/>
              <w:bottom w:val="single" w:sz="4" w:space="0" w:color="auto"/>
              <w:right w:val="single" w:sz="4" w:space="0" w:color="auto"/>
            </w:tcBorders>
            <w:shd w:val="clear" w:color="auto" w:fill="auto"/>
            <w:vAlign w:val="center"/>
          </w:tcPr>
          <w:p w:rsidR="000C3DC3" w:rsidRPr="002F2828" w:rsidRDefault="000C3DC3" w:rsidP="00A92D1E">
            <w:pPr>
              <w:jc w:val="right"/>
              <w:rPr>
                <w:color w:val="000000"/>
              </w:rPr>
            </w:pPr>
            <w:r w:rsidRPr="002F2828">
              <w:rPr>
                <w:color w:val="000000"/>
              </w:rPr>
              <w:t>-</w:t>
            </w:r>
          </w:p>
        </w:tc>
      </w:tr>
      <w:tr w:rsidR="000C3DC3" w:rsidRPr="002F2828" w:rsidTr="00A92D1E">
        <w:tc>
          <w:tcPr>
            <w:tcW w:w="3167" w:type="dxa"/>
            <w:tcBorders>
              <w:top w:val="single" w:sz="4" w:space="0" w:color="auto"/>
              <w:left w:val="single" w:sz="4" w:space="0" w:color="auto"/>
              <w:bottom w:val="single" w:sz="4" w:space="0" w:color="auto"/>
              <w:right w:val="single" w:sz="4" w:space="0" w:color="auto"/>
            </w:tcBorders>
            <w:shd w:val="clear" w:color="auto" w:fill="auto"/>
            <w:vAlign w:val="center"/>
          </w:tcPr>
          <w:p w:rsidR="000C3DC3" w:rsidRPr="002F2828" w:rsidRDefault="000C3DC3" w:rsidP="00A92D1E">
            <w:pPr>
              <w:ind w:firstLine="284"/>
              <w:rPr>
                <w:color w:val="000000"/>
                <w:sz w:val="22"/>
                <w:szCs w:val="22"/>
              </w:rPr>
            </w:pPr>
            <w:r w:rsidRPr="002F2828">
              <w:rPr>
                <w:color w:val="000000"/>
                <w:sz w:val="22"/>
                <w:szCs w:val="22"/>
              </w:rPr>
              <w:t xml:space="preserve"> - выполнены работы</w:t>
            </w:r>
          </w:p>
        </w:tc>
        <w:tc>
          <w:tcPr>
            <w:tcW w:w="1936" w:type="dxa"/>
            <w:tcBorders>
              <w:top w:val="nil"/>
              <w:left w:val="single" w:sz="4" w:space="0" w:color="auto"/>
              <w:bottom w:val="single" w:sz="4" w:space="0" w:color="auto"/>
              <w:right w:val="single" w:sz="4" w:space="0" w:color="auto"/>
            </w:tcBorders>
            <w:shd w:val="clear" w:color="auto" w:fill="auto"/>
            <w:vAlign w:val="center"/>
          </w:tcPr>
          <w:p w:rsidR="000C3DC3" w:rsidRPr="002F2828" w:rsidRDefault="000C3DC3" w:rsidP="00A92D1E">
            <w:pPr>
              <w:jc w:val="right"/>
              <w:rPr>
                <w:color w:val="000000"/>
              </w:rPr>
            </w:pPr>
            <w:r w:rsidRPr="002F2828">
              <w:rPr>
                <w:color w:val="000000"/>
              </w:rPr>
              <w:t>-</w:t>
            </w:r>
          </w:p>
        </w:tc>
        <w:tc>
          <w:tcPr>
            <w:tcW w:w="1843" w:type="dxa"/>
            <w:tcBorders>
              <w:top w:val="nil"/>
              <w:left w:val="nil"/>
              <w:bottom w:val="single" w:sz="4" w:space="0" w:color="auto"/>
              <w:right w:val="single" w:sz="4" w:space="0" w:color="auto"/>
            </w:tcBorders>
            <w:shd w:val="clear" w:color="auto" w:fill="auto"/>
            <w:vAlign w:val="center"/>
          </w:tcPr>
          <w:p w:rsidR="000C3DC3" w:rsidRPr="002F2828" w:rsidRDefault="000C3DC3" w:rsidP="00A92D1E">
            <w:pPr>
              <w:jc w:val="right"/>
              <w:rPr>
                <w:color w:val="000000"/>
              </w:rPr>
            </w:pPr>
            <w:r w:rsidRPr="002F2828">
              <w:rPr>
                <w:color w:val="000000"/>
              </w:rPr>
              <w:t>-</w:t>
            </w:r>
          </w:p>
        </w:tc>
        <w:tc>
          <w:tcPr>
            <w:tcW w:w="1843" w:type="dxa"/>
            <w:tcBorders>
              <w:top w:val="nil"/>
              <w:left w:val="nil"/>
              <w:bottom w:val="single" w:sz="4" w:space="0" w:color="auto"/>
              <w:right w:val="single" w:sz="4" w:space="0" w:color="auto"/>
            </w:tcBorders>
            <w:shd w:val="clear" w:color="auto" w:fill="auto"/>
            <w:vAlign w:val="center"/>
          </w:tcPr>
          <w:p w:rsidR="000C3DC3" w:rsidRPr="002F2828" w:rsidRDefault="000C3DC3" w:rsidP="00A92D1E">
            <w:pPr>
              <w:jc w:val="right"/>
              <w:rPr>
                <w:color w:val="000000"/>
              </w:rPr>
            </w:pPr>
            <w:r w:rsidRPr="002F2828">
              <w:rPr>
                <w:color w:val="000000"/>
              </w:rPr>
              <w:t>- </w:t>
            </w:r>
          </w:p>
        </w:tc>
      </w:tr>
    </w:tbl>
    <w:p w:rsidR="000C3DC3" w:rsidRPr="00664CF5" w:rsidRDefault="000C3DC3" w:rsidP="000C3DC3">
      <w:pPr>
        <w:ind w:firstLine="720"/>
        <w:jc w:val="both"/>
        <w:rPr>
          <w:sz w:val="12"/>
          <w:szCs w:val="12"/>
        </w:rPr>
      </w:pPr>
    </w:p>
    <w:p w:rsidR="000C3DC3" w:rsidRPr="00664CF5" w:rsidRDefault="000C3DC3" w:rsidP="000C3DC3">
      <w:pPr>
        <w:ind w:firstLine="720"/>
        <w:jc w:val="both"/>
        <w:rPr>
          <w:sz w:val="26"/>
          <w:szCs w:val="26"/>
        </w:rPr>
      </w:pPr>
      <w:r w:rsidRPr="00664CF5">
        <w:rPr>
          <w:sz w:val="26"/>
          <w:szCs w:val="26"/>
        </w:rPr>
        <w:t>Так же отмечается, что по материалам контрольного мероприятия «Проверка финансово-хозяйственной деятельности МАУ «Дворец спорта», направленным в декабре 2019 года в правоохранительные органы и результатам рассмотрения соответствующих дел в уголовном и гражданском судопроизводстве, в отчетном периоде в бюджет города Когалыма поступило 2 236,3 тыс. рублей.</w:t>
      </w:r>
    </w:p>
    <w:p w:rsidR="000C3DC3" w:rsidRPr="00664CF5" w:rsidRDefault="000C3DC3" w:rsidP="000C3DC3">
      <w:pPr>
        <w:ind w:firstLine="720"/>
        <w:jc w:val="both"/>
        <w:rPr>
          <w:sz w:val="26"/>
          <w:szCs w:val="26"/>
        </w:rPr>
      </w:pPr>
      <w:r w:rsidRPr="00664CF5">
        <w:rPr>
          <w:sz w:val="26"/>
          <w:szCs w:val="26"/>
        </w:rPr>
        <w:t>Возмещение виновными лицами оставшейся суммы задолженности в размере 13 311,4 тыс. рублей, и принятие Администрацией города Когалыма должных мер по взысканию задолженности, находится на контроле Контрольно-счетной палаты.</w:t>
      </w:r>
    </w:p>
    <w:p w:rsidR="000C3DC3" w:rsidRPr="00664CF5" w:rsidRDefault="000C3DC3" w:rsidP="000C3DC3">
      <w:pPr>
        <w:ind w:firstLine="720"/>
        <w:jc w:val="both"/>
        <w:rPr>
          <w:sz w:val="26"/>
          <w:szCs w:val="26"/>
        </w:rPr>
      </w:pPr>
      <w:r w:rsidRPr="00664CF5">
        <w:rPr>
          <w:sz w:val="26"/>
          <w:szCs w:val="26"/>
        </w:rPr>
        <w:t xml:space="preserve">Кроме этого, в течение отчётного года объектами проверок по инициативе Контрольно-счетной палаты устранялись нарушения и недостатки, не имеющие стоимостной оценки, установленные в рамках контрольных мероприятий при изучении нормативных правовых актов города Когалыма, регламентирующих деятельность органов местного самоуправления и учреждений. </w:t>
      </w:r>
    </w:p>
    <w:p w:rsidR="000C3DC3" w:rsidRPr="00664CF5" w:rsidRDefault="000C3DC3" w:rsidP="000C3DC3">
      <w:pPr>
        <w:ind w:firstLine="720"/>
        <w:jc w:val="both"/>
        <w:rPr>
          <w:sz w:val="26"/>
          <w:szCs w:val="26"/>
        </w:rPr>
      </w:pPr>
      <w:r w:rsidRPr="00664CF5">
        <w:rPr>
          <w:sz w:val="26"/>
          <w:szCs w:val="26"/>
        </w:rPr>
        <w:t>В отчётном периоде руководителям объектов проверок направлено:</w:t>
      </w:r>
    </w:p>
    <w:p w:rsidR="000C3DC3" w:rsidRPr="00664CF5" w:rsidRDefault="000C3DC3" w:rsidP="000C3DC3">
      <w:pPr>
        <w:ind w:firstLine="720"/>
        <w:jc w:val="both"/>
        <w:rPr>
          <w:sz w:val="26"/>
          <w:szCs w:val="26"/>
        </w:rPr>
      </w:pPr>
      <w:r w:rsidRPr="00664CF5">
        <w:rPr>
          <w:sz w:val="26"/>
          <w:szCs w:val="26"/>
        </w:rPr>
        <w:t>- 8 представлений (в отчетном году исполнены 7 представлений, 1 представление исполнено в начале 2024 года);</w:t>
      </w:r>
    </w:p>
    <w:p w:rsidR="000C3DC3" w:rsidRPr="00664CF5" w:rsidRDefault="000C3DC3" w:rsidP="000C3DC3">
      <w:pPr>
        <w:ind w:firstLine="720"/>
        <w:jc w:val="both"/>
        <w:rPr>
          <w:sz w:val="26"/>
          <w:szCs w:val="26"/>
        </w:rPr>
      </w:pPr>
      <w:r w:rsidRPr="00664CF5">
        <w:rPr>
          <w:sz w:val="26"/>
          <w:szCs w:val="26"/>
        </w:rPr>
        <w:t>- 5 предписаний (исполнены в полном объеме 4 предписания, 1 предписание исполнено частично и находится на контроле);</w:t>
      </w:r>
    </w:p>
    <w:p w:rsidR="000C3DC3" w:rsidRPr="00664CF5" w:rsidRDefault="000C3DC3" w:rsidP="000C3DC3">
      <w:pPr>
        <w:ind w:firstLine="720"/>
        <w:jc w:val="both"/>
        <w:rPr>
          <w:sz w:val="26"/>
          <w:szCs w:val="26"/>
        </w:rPr>
      </w:pPr>
      <w:r w:rsidRPr="00664CF5">
        <w:rPr>
          <w:sz w:val="26"/>
          <w:szCs w:val="26"/>
        </w:rPr>
        <w:t>- 1 информационное письмо (исполнено в полном объеме).</w:t>
      </w:r>
    </w:p>
    <w:p w:rsidR="000C3DC3" w:rsidRPr="00664CF5" w:rsidRDefault="000C3DC3" w:rsidP="000C3DC3">
      <w:pPr>
        <w:ind w:firstLine="720"/>
        <w:jc w:val="both"/>
        <w:rPr>
          <w:sz w:val="26"/>
          <w:szCs w:val="26"/>
        </w:rPr>
      </w:pPr>
      <w:r w:rsidRPr="00664CF5">
        <w:rPr>
          <w:sz w:val="26"/>
          <w:szCs w:val="26"/>
        </w:rPr>
        <w:t>По результатам рассмотрения указанных документов приняты меры по устранению нарушений и недопущению их в дальнейшем, 10 должностных лиц привлечено к дисциплинарной ответственности.</w:t>
      </w:r>
    </w:p>
    <w:p w:rsidR="000C3DC3" w:rsidRPr="00664CF5" w:rsidRDefault="000C3DC3" w:rsidP="000C3DC3">
      <w:pPr>
        <w:ind w:firstLine="720"/>
        <w:jc w:val="both"/>
        <w:rPr>
          <w:sz w:val="26"/>
          <w:szCs w:val="26"/>
        </w:rPr>
      </w:pPr>
      <w:r w:rsidRPr="00664CF5">
        <w:rPr>
          <w:sz w:val="26"/>
          <w:szCs w:val="26"/>
        </w:rPr>
        <w:lastRenderedPageBreak/>
        <w:t>По материалам проверок в сфере закупок, направленным в уполномоченный орган - Службу контроля Ханты-Мансийского автономного округа - Югры, возбуждено 3 дела об административном правонарушении, по итогам рассмотрения которых вынесены постановления о назначении административного наказания в виде предупреждения.</w:t>
      </w:r>
    </w:p>
    <w:p w:rsidR="000C3DC3" w:rsidRPr="00664CF5" w:rsidRDefault="000C3DC3" w:rsidP="000C3DC3">
      <w:pPr>
        <w:ind w:firstLine="720"/>
        <w:jc w:val="both"/>
        <w:rPr>
          <w:sz w:val="26"/>
          <w:szCs w:val="26"/>
        </w:rPr>
      </w:pPr>
      <w:r w:rsidRPr="00664CF5">
        <w:rPr>
          <w:sz w:val="26"/>
          <w:szCs w:val="26"/>
        </w:rPr>
        <w:t>По результатам рассмотрения материалов совместного с прокуратурой города Когалыма контрольного мероприятия по проверке исполнения законодательства и целевого использования бюджетных средств в рамках национального проекта «Жилье и городская среда» прокуратурой города Когалыма внесено представление об устранении нарушений закона, а также возбуждено административное производство по статье 7.32.5 Кодекса Российской Федерации об административных правонарушениях за нарушение должностным лицом заказчика срока и порядка оплаты товаров (работ, услуг). Нарушения устранены, одно должностное лицо привлечено к административной ответственности.</w:t>
      </w:r>
    </w:p>
    <w:p w:rsidR="000C3DC3" w:rsidRPr="00664CF5" w:rsidRDefault="000C3DC3" w:rsidP="000C3DC3">
      <w:pPr>
        <w:ind w:firstLine="720"/>
        <w:jc w:val="both"/>
        <w:rPr>
          <w:sz w:val="26"/>
          <w:szCs w:val="26"/>
        </w:rPr>
      </w:pPr>
      <w:r w:rsidRPr="00664CF5">
        <w:rPr>
          <w:sz w:val="26"/>
          <w:szCs w:val="26"/>
        </w:rPr>
        <w:t>Кроме этого, по материалам проверки целевого и эффективного использования средств, выделенных в рамках муниципальной программы «Содержание объектов городского хозяйства и инженерной инфраструктуры в городе Когалыме», прокуратурой города Когалыма организована процессуальная проверка, которая на настоящий момент не закончена.</w:t>
      </w:r>
    </w:p>
    <w:p w:rsidR="000C3DC3" w:rsidRPr="00664CF5" w:rsidRDefault="000C3DC3" w:rsidP="000C3DC3">
      <w:pPr>
        <w:ind w:firstLine="720"/>
        <w:jc w:val="center"/>
        <w:rPr>
          <w:sz w:val="26"/>
          <w:szCs w:val="26"/>
        </w:rPr>
      </w:pPr>
    </w:p>
    <w:p w:rsidR="000C3DC3" w:rsidRPr="00664CF5" w:rsidRDefault="000C3DC3" w:rsidP="000C3DC3">
      <w:pPr>
        <w:ind w:firstLine="720"/>
        <w:jc w:val="center"/>
        <w:rPr>
          <w:sz w:val="26"/>
          <w:szCs w:val="26"/>
        </w:rPr>
      </w:pPr>
      <w:r w:rsidRPr="00664CF5">
        <w:rPr>
          <w:sz w:val="26"/>
          <w:szCs w:val="26"/>
        </w:rPr>
        <w:t>3. Обобщ</w:t>
      </w:r>
      <w:r>
        <w:rPr>
          <w:sz w:val="26"/>
          <w:szCs w:val="26"/>
        </w:rPr>
        <w:t>ё</w:t>
      </w:r>
      <w:r w:rsidRPr="00664CF5">
        <w:rPr>
          <w:sz w:val="26"/>
          <w:szCs w:val="26"/>
        </w:rPr>
        <w:t xml:space="preserve">нные сведения по результатам проведения </w:t>
      </w:r>
    </w:p>
    <w:p w:rsidR="000C3DC3" w:rsidRPr="00664CF5" w:rsidRDefault="000C3DC3" w:rsidP="000C3DC3">
      <w:pPr>
        <w:ind w:firstLine="720"/>
        <w:jc w:val="center"/>
        <w:rPr>
          <w:sz w:val="26"/>
          <w:szCs w:val="26"/>
        </w:rPr>
      </w:pPr>
      <w:r w:rsidRPr="00664CF5">
        <w:rPr>
          <w:sz w:val="26"/>
          <w:szCs w:val="26"/>
        </w:rPr>
        <w:t>экспертно-аналитических мероприятий</w:t>
      </w:r>
    </w:p>
    <w:p w:rsidR="000C3DC3" w:rsidRPr="00664CF5" w:rsidRDefault="000C3DC3" w:rsidP="000C3DC3">
      <w:pPr>
        <w:ind w:firstLine="720"/>
        <w:jc w:val="both"/>
        <w:rPr>
          <w:sz w:val="26"/>
          <w:szCs w:val="26"/>
        </w:rPr>
      </w:pPr>
    </w:p>
    <w:p w:rsidR="000C3DC3" w:rsidRPr="00664CF5" w:rsidRDefault="000C3DC3" w:rsidP="000C3DC3">
      <w:pPr>
        <w:ind w:firstLine="720"/>
        <w:jc w:val="both"/>
        <w:rPr>
          <w:sz w:val="26"/>
          <w:szCs w:val="26"/>
        </w:rPr>
      </w:pPr>
      <w:r w:rsidRPr="00664CF5">
        <w:rPr>
          <w:sz w:val="26"/>
          <w:szCs w:val="26"/>
        </w:rPr>
        <w:t xml:space="preserve">Экспертно-аналитическая деятельность Контрольно-счетной палаты осуществлялась в соответствии с Бюджетным кодексом Российской Федерации, Федеральным законом от 07.02.2011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была направлена на проведение экспертиз проектов муниципальных правовых актов, в части, касающейся расходных обязательств муниципального образования, проектов муниципальных правовых актов, приводящих к изменению доходов местного бюджета, а также муниципальных программ, на оценку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палаты, на анализ и проверку годовой и квартальной отчётности об исполнении бюджета города Когалыма, а также на прочие мероприятия по контролю за формированием и исполнением бюджета города Когалыма. </w:t>
      </w:r>
    </w:p>
    <w:p w:rsidR="000C3DC3" w:rsidRPr="00664CF5" w:rsidRDefault="000C3DC3" w:rsidP="000C3DC3">
      <w:pPr>
        <w:ind w:firstLine="720"/>
        <w:jc w:val="both"/>
        <w:rPr>
          <w:sz w:val="26"/>
          <w:szCs w:val="26"/>
        </w:rPr>
      </w:pPr>
      <w:r w:rsidRPr="00664CF5">
        <w:rPr>
          <w:sz w:val="26"/>
          <w:szCs w:val="26"/>
        </w:rPr>
        <w:t>В отчётном периоде проведено 150 экспертно-аналитических мероприятий, из них 135 по экспертизе нормативных правовых актов и 15 иных экспертно-аналитических мероприятий.</w:t>
      </w:r>
    </w:p>
    <w:p w:rsidR="000C3DC3" w:rsidRPr="00664CF5" w:rsidRDefault="000C3DC3" w:rsidP="000C3DC3">
      <w:pPr>
        <w:ind w:firstLine="720"/>
        <w:jc w:val="both"/>
        <w:rPr>
          <w:sz w:val="26"/>
          <w:szCs w:val="26"/>
        </w:rPr>
      </w:pPr>
      <w:r w:rsidRPr="00664CF5">
        <w:rPr>
          <w:sz w:val="26"/>
          <w:szCs w:val="26"/>
        </w:rPr>
        <w:t xml:space="preserve">Экспертизы проведены в отношении 35 проектов решений Думы города Когалыма и 100 проектов постановлений Администрации города Когалыма, в том числе 98 проектов изменений в муниципальные программы. </w:t>
      </w:r>
    </w:p>
    <w:p w:rsidR="000C3DC3" w:rsidRPr="00664CF5" w:rsidRDefault="000C3DC3" w:rsidP="000C3DC3">
      <w:pPr>
        <w:ind w:firstLine="720"/>
        <w:jc w:val="both"/>
        <w:rPr>
          <w:sz w:val="26"/>
          <w:szCs w:val="26"/>
        </w:rPr>
      </w:pPr>
      <w:r w:rsidRPr="00664CF5">
        <w:rPr>
          <w:sz w:val="26"/>
          <w:szCs w:val="26"/>
        </w:rPr>
        <w:t xml:space="preserve">По результатам экспертиз проектов изменений в муниципальные программы в 19-ти проектах установлено 25 нарушений и недостатков. Основными выявленными нарушениями и недостатками являлись нарушения </w:t>
      </w:r>
      <w:r w:rsidRPr="00664CF5">
        <w:rPr>
          <w:sz w:val="26"/>
          <w:szCs w:val="26"/>
        </w:rPr>
        <w:lastRenderedPageBreak/>
        <w:t xml:space="preserve">срока, установленного для приведения муниципальной программы в соответствии с решением о бюджете, некорректное отражение финансового обеспечения мероприятий муниципальных программ, технические и счётные ошибки. По рекомендации Контрольно-счетной палаты, все возможные к устранению нарушения устранены. </w:t>
      </w:r>
    </w:p>
    <w:p w:rsidR="000C3DC3" w:rsidRPr="00664CF5" w:rsidRDefault="000C3DC3" w:rsidP="000C3DC3">
      <w:pPr>
        <w:ind w:firstLine="720"/>
        <w:jc w:val="both"/>
        <w:rPr>
          <w:sz w:val="26"/>
          <w:szCs w:val="26"/>
        </w:rPr>
      </w:pPr>
      <w:r w:rsidRPr="00664CF5">
        <w:rPr>
          <w:sz w:val="26"/>
          <w:szCs w:val="26"/>
        </w:rPr>
        <w:t>В рамках контроля за формированием и исполнением бюджета города Когалыма, в соответствии с требованиями Бюджетного кодекса Российской Федерации проведено 9 экспертно-аналитических мероприятий:</w:t>
      </w:r>
    </w:p>
    <w:p w:rsidR="000C3DC3" w:rsidRPr="00664CF5" w:rsidRDefault="000C3DC3" w:rsidP="000C3DC3">
      <w:pPr>
        <w:ind w:firstLine="720"/>
        <w:jc w:val="both"/>
        <w:rPr>
          <w:sz w:val="26"/>
          <w:szCs w:val="26"/>
        </w:rPr>
      </w:pPr>
      <w:r w:rsidRPr="00664CF5">
        <w:rPr>
          <w:sz w:val="26"/>
          <w:szCs w:val="26"/>
        </w:rPr>
        <w:t>- 1 внешняя проверка отчета об исполнении бюджета города Когалыма за 2022 год (в том числе внешняя проверка годовой бюджетной отчетности главных администраторов бюджетных средств);</w:t>
      </w:r>
    </w:p>
    <w:p w:rsidR="000C3DC3" w:rsidRPr="00664CF5" w:rsidRDefault="000C3DC3" w:rsidP="000C3DC3">
      <w:pPr>
        <w:ind w:firstLine="720"/>
        <w:jc w:val="both"/>
        <w:rPr>
          <w:sz w:val="26"/>
          <w:szCs w:val="26"/>
        </w:rPr>
      </w:pPr>
      <w:r w:rsidRPr="00664CF5">
        <w:rPr>
          <w:sz w:val="26"/>
          <w:szCs w:val="26"/>
        </w:rPr>
        <w:t>- 4 экспертизы проектов решений по поправкам в бюджет;</w:t>
      </w:r>
    </w:p>
    <w:p w:rsidR="000C3DC3" w:rsidRPr="00664CF5" w:rsidRDefault="000C3DC3" w:rsidP="000C3DC3">
      <w:pPr>
        <w:ind w:firstLine="720"/>
        <w:jc w:val="both"/>
        <w:rPr>
          <w:sz w:val="26"/>
          <w:szCs w:val="26"/>
        </w:rPr>
      </w:pPr>
      <w:r w:rsidRPr="00664CF5">
        <w:rPr>
          <w:sz w:val="26"/>
          <w:szCs w:val="26"/>
        </w:rPr>
        <w:t>- 1 экспертиза на проект бюджета города Когалыма на 2024 год и на плановый период 2025 и 2026 годов;</w:t>
      </w:r>
    </w:p>
    <w:p w:rsidR="000C3DC3" w:rsidRPr="00664CF5" w:rsidRDefault="000C3DC3" w:rsidP="000C3DC3">
      <w:pPr>
        <w:ind w:firstLine="720"/>
        <w:jc w:val="both"/>
        <w:rPr>
          <w:sz w:val="26"/>
          <w:szCs w:val="26"/>
        </w:rPr>
      </w:pPr>
      <w:r w:rsidRPr="00664CF5">
        <w:rPr>
          <w:sz w:val="26"/>
          <w:szCs w:val="26"/>
        </w:rPr>
        <w:t>- 3 мероприятия по анализу исполнения и контроля за организацией исполнения бюджета города в текущем финансовом году (за 3, 6 и 9 месяцев 2023 года).</w:t>
      </w:r>
    </w:p>
    <w:p w:rsidR="000C3DC3" w:rsidRPr="00664CF5" w:rsidRDefault="000C3DC3" w:rsidP="000C3DC3">
      <w:pPr>
        <w:ind w:firstLine="720"/>
        <w:jc w:val="both"/>
        <w:rPr>
          <w:sz w:val="26"/>
          <w:szCs w:val="26"/>
        </w:rPr>
      </w:pPr>
      <w:r w:rsidRPr="00664CF5">
        <w:rPr>
          <w:sz w:val="26"/>
          <w:szCs w:val="26"/>
        </w:rPr>
        <w:t>Всего по результатам экспертно-аналитических мероприятий (за исключением экспертиз) выявлено 41 нарушение, 37 из которых не имеют стоимостной оценки и 4 нарушения на общую сумму 328,6 тыс. рублей.</w:t>
      </w:r>
    </w:p>
    <w:p w:rsidR="000C3DC3" w:rsidRPr="00664CF5" w:rsidRDefault="000C3DC3" w:rsidP="000C3DC3">
      <w:pPr>
        <w:ind w:firstLine="720"/>
        <w:jc w:val="both"/>
        <w:rPr>
          <w:sz w:val="26"/>
          <w:szCs w:val="26"/>
        </w:rPr>
      </w:pPr>
      <w:r w:rsidRPr="00664CF5">
        <w:rPr>
          <w:sz w:val="26"/>
          <w:szCs w:val="26"/>
        </w:rPr>
        <w:t>Финансовые нарушения на общую сумму 328,6 тыс. рублей установлены по результатам проверки квартальных отчётов по исполнению бюджета города Когалыма, в части несоответствия бюджетных назначений, утвержденных в отчете об исполнении бюджета города с показателями сводной бюджетной отчетности финансового органа. Выявленные нарушения устранены в установленные Контрольно-счетной палатой сроки.</w:t>
      </w:r>
    </w:p>
    <w:p w:rsidR="000C3DC3" w:rsidRPr="00664CF5" w:rsidRDefault="000C3DC3" w:rsidP="000C3DC3">
      <w:pPr>
        <w:ind w:firstLine="720"/>
        <w:jc w:val="both"/>
        <w:rPr>
          <w:sz w:val="26"/>
          <w:szCs w:val="26"/>
        </w:rPr>
      </w:pPr>
      <w:r w:rsidRPr="00664CF5">
        <w:rPr>
          <w:sz w:val="26"/>
          <w:szCs w:val="26"/>
        </w:rPr>
        <w:t>В ходе проведения экспертизы проекта решения Думы города Когалыма о бюджете города Когалыма на 2024 год и на плановый период 2025 и 2026 годов» (далее - проект решения</w:t>
      </w:r>
      <w:r w:rsidRPr="00664CF5">
        <w:t xml:space="preserve"> </w:t>
      </w:r>
      <w:r w:rsidRPr="00664CF5">
        <w:rPr>
          <w:sz w:val="26"/>
          <w:szCs w:val="26"/>
        </w:rPr>
        <w:t>о бюджете) нарушения не установлены. По результатам мероприятия составлено заключение о соответствии проекта решения о бюджете города требованиям Бюджетного кодекса Российской Федерации и Положению об отдельных вопросах организации и осуществления бюджетного процесса в городе Когалыме.</w:t>
      </w:r>
    </w:p>
    <w:p w:rsidR="000C3DC3" w:rsidRPr="00664CF5" w:rsidRDefault="000C3DC3" w:rsidP="000C3DC3">
      <w:pPr>
        <w:ind w:firstLine="720"/>
        <w:jc w:val="both"/>
        <w:rPr>
          <w:sz w:val="26"/>
          <w:szCs w:val="26"/>
        </w:rPr>
      </w:pPr>
      <w:r w:rsidRPr="00664CF5">
        <w:rPr>
          <w:sz w:val="26"/>
          <w:szCs w:val="26"/>
        </w:rPr>
        <w:t xml:space="preserve">В рамках выполнения Контрольно-счетной палатой полномочий по оценке эффективности предоставления налоговых и иных льгот и преимуществ проведено одно экспертно-аналитическое мероприятие. По результатам оценки установлено, что общий объём недополученных доходов местного бюджета в связи с предоставлением налоговых льгот по местным налогам в 2022 году составил 36 416 тыс. рублей, из них 12 496 тыс. рублей - по земельному налогу и 23 920 тыс. рублей - по налогу на имущество физических лиц. Общая сумма налогов в 2022 году, не поступившая в бюджет, в связи с предоставлением льгот, установленных для налогоплательщиков решениями Думы города Когалыма, составила 26 808 тыс. рублей, из них 11 089 тыс. рублей по земельному налогу и 15 719 тыс. рублей - по налогу на имущество физических лиц. Для оценки общего влияния налоговых расходов на доходы бюджета города Когалыма, произведен расчет коэффициента бюджетной эффективности налоговых льгот, установленных на местном уровне, который составил 0,91. Указанный результат меньше одной единицы, следовательно, налоговые льготы в целом не имеют положительного бюджетного эффекта. Вместе с тем, </w:t>
      </w:r>
      <w:r w:rsidRPr="00664CF5">
        <w:rPr>
          <w:sz w:val="26"/>
          <w:szCs w:val="26"/>
        </w:rPr>
        <w:lastRenderedPageBreak/>
        <w:t>учитывая, что установленные налоговые расходы не оказывают отрицательного экономического влияния, способствуют повышению качества жизни отдельных категорий граждан, повышению инвестиционной привлекательности города Когалыма, а также принимая во внимание предложения кураторов налоговых расходов, их применение не требует отмены.</w:t>
      </w:r>
    </w:p>
    <w:p w:rsidR="000C3DC3" w:rsidRPr="00664CF5" w:rsidRDefault="000C3DC3" w:rsidP="000C3DC3">
      <w:pPr>
        <w:ind w:firstLine="720"/>
        <w:jc w:val="both"/>
        <w:rPr>
          <w:sz w:val="26"/>
          <w:szCs w:val="26"/>
        </w:rPr>
      </w:pPr>
      <w:r w:rsidRPr="00664CF5">
        <w:rPr>
          <w:sz w:val="26"/>
          <w:szCs w:val="26"/>
        </w:rPr>
        <w:t>В рамках полномочий по 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 Контрольно-счетной палатой проведено экспертно-аналитическое мероприятие «Оценка организации и осуществления главными администраторами бюджетных средств города Когалыма внутреннего финансового аудита в 2022 году».</w:t>
      </w:r>
      <w:r w:rsidRPr="00664CF5">
        <w:t xml:space="preserve"> </w:t>
      </w:r>
      <w:r w:rsidRPr="00664CF5">
        <w:rPr>
          <w:sz w:val="26"/>
          <w:szCs w:val="26"/>
        </w:rPr>
        <w:t xml:space="preserve">Всего по результатам мероприятия, у 2-х из 6-ти главных администраторов бюджетных средств, установлено 14 нарушений требований статьи 160.2-1 Бюджетного кодекса Российской Федерации и федеральных стандартов внутреннего финансового аудита, в части организации и осуществления внутреннего финансового аудита. Даны рекомендации об устранении выявленных нарушений, которые частично выполнены, устранение 3 нарушений находится на контроле. </w:t>
      </w:r>
    </w:p>
    <w:p w:rsidR="000C3DC3" w:rsidRPr="00664CF5" w:rsidRDefault="000C3DC3" w:rsidP="000C3DC3">
      <w:pPr>
        <w:ind w:firstLine="720"/>
        <w:jc w:val="both"/>
        <w:rPr>
          <w:sz w:val="26"/>
          <w:szCs w:val="26"/>
        </w:rPr>
      </w:pPr>
      <w:r w:rsidRPr="00664CF5">
        <w:rPr>
          <w:sz w:val="26"/>
          <w:szCs w:val="26"/>
        </w:rPr>
        <w:t>По результатам проведенного экспертно-аналитического мероприятия по соблюдению условий, целей 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w:t>
      </w:r>
      <w:r>
        <w:rPr>
          <w:sz w:val="26"/>
          <w:szCs w:val="26"/>
        </w:rPr>
        <w:t xml:space="preserve"> лицам</w:t>
      </w:r>
      <w:r w:rsidRPr="00664CF5">
        <w:rPr>
          <w:sz w:val="26"/>
          <w:szCs w:val="26"/>
        </w:rPr>
        <w:t>, в части предоставления из бюджета города Когалыма субсидий некоммерческим организациям, не являющимся государственными (муниципальными) учреждениями, в целях финансового обеспечения затрат на выполнение функций ресурсного центра поддержки некоммерческих организаций в городе Когалыме, установлены 5 нарушений законодательства, в части составления отчетности об использовании субсидии. Мероприятие проведено в рамках полномочий, предусмотренных статьёй 78</w:t>
      </w:r>
      <w:r w:rsidRPr="00664CF5">
        <w:t xml:space="preserve"> </w:t>
      </w:r>
      <w:r w:rsidRPr="00664CF5">
        <w:rPr>
          <w:sz w:val="26"/>
          <w:szCs w:val="26"/>
        </w:rPr>
        <w:t>Бюджетного кодекса Российской Федерации. Выявленные нарушения устранены.</w:t>
      </w:r>
    </w:p>
    <w:p w:rsidR="000C3DC3" w:rsidRPr="00664CF5" w:rsidRDefault="000C3DC3" w:rsidP="000C3DC3">
      <w:pPr>
        <w:ind w:firstLine="720"/>
        <w:jc w:val="both"/>
        <w:rPr>
          <w:sz w:val="26"/>
          <w:szCs w:val="26"/>
          <w:highlight w:val="lightGray"/>
        </w:rPr>
      </w:pPr>
      <w:r w:rsidRPr="00664CF5">
        <w:rPr>
          <w:sz w:val="26"/>
          <w:szCs w:val="26"/>
        </w:rPr>
        <w:t>В рамках полномочий по оценке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Контрольно-счетной палаты проведено экспертно-аналитическое мероприятие, по итогам которого установлено 18 нарушений и недостатков, в части разработки и утверждения муниципальных программ города Когалыма, отражения целевых показателей и их базовых значений. Все возможные к устранению нарушения устранены при внесении изменений в муниципальные программы.</w:t>
      </w:r>
    </w:p>
    <w:p w:rsidR="000C3DC3" w:rsidRPr="00664CF5" w:rsidRDefault="000C3DC3" w:rsidP="000C3DC3">
      <w:pPr>
        <w:ind w:firstLine="720"/>
        <w:jc w:val="both"/>
        <w:rPr>
          <w:sz w:val="26"/>
          <w:szCs w:val="26"/>
        </w:rPr>
      </w:pPr>
      <w:r w:rsidRPr="00664CF5">
        <w:rPr>
          <w:sz w:val="26"/>
          <w:szCs w:val="26"/>
        </w:rPr>
        <w:t>Кроме запланированных мероприятий, на основании обращений прокуратуры города Когалыма Контрольно-счетной палатой в 2023 году проведено 6 экспертных мероприятий:</w:t>
      </w:r>
    </w:p>
    <w:p w:rsidR="000C3DC3" w:rsidRPr="00664CF5" w:rsidRDefault="000C3DC3" w:rsidP="000C3DC3">
      <w:pPr>
        <w:ind w:firstLine="720"/>
        <w:jc w:val="both"/>
        <w:rPr>
          <w:sz w:val="26"/>
          <w:szCs w:val="26"/>
        </w:rPr>
      </w:pPr>
      <w:r w:rsidRPr="00664CF5">
        <w:rPr>
          <w:sz w:val="26"/>
          <w:szCs w:val="26"/>
        </w:rPr>
        <w:t>- проверка исполнения государственных контрактов на создание и развитие региональных информационных систем в сфере здравоохранения;</w:t>
      </w:r>
    </w:p>
    <w:p w:rsidR="000C3DC3" w:rsidRPr="00664CF5" w:rsidRDefault="000C3DC3" w:rsidP="000C3DC3">
      <w:pPr>
        <w:ind w:firstLine="720"/>
        <w:jc w:val="both"/>
        <w:rPr>
          <w:sz w:val="26"/>
          <w:szCs w:val="26"/>
        </w:rPr>
      </w:pPr>
      <w:r w:rsidRPr="00664CF5">
        <w:rPr>
          <w:sz w:val="26"/>
          <w:szCs w:val="26"/>
        </w:rPr>
        <w:t>- проверка исполнения законодательства о закупках в сфере здравоохранения;</w:t>
      </w:r>
    </w:p>
    <w:p w:rsidR="000C3DC3" w:rsidRPr="00664CF5" w:rsidRDefault="000C3DC3" w:rsidP="000C3DC3">
      <w:pPr>
        <w:ind w:firstLine="720"/>
        <w:jc w:val="both"/>
        <w:rPr>
          <w:sz w:val="26"/>
          <w:szCs w:val="26"/>
        </w:rPr>
      </w:pPr>
      <w:r w:rsidRPr="00664CF5">
        <w:rPr>
          <w:sz w:val="26"/>
          <w:szCs w:val="26"/>
        </w:rPr>
        <w:lastRenderedPageBreak/>
        <w:t>- проверка исполнения законодательства о закупках товаров и услуг для муниципальных нужд в Администрации города Когалыма;</w:t>
      </w:r>
    </w:p>
    <w:p w:rsidR="000C3DC3" w:rsidRPr="00664CF5" w:rsidRDefault="000C3DC3" w:rsidP="000C3DC3">
      <w:pPr>
        <w:ind w:firstLine="720"/>
        <w:jc w:val="both"/>
        <w:rPr>
          <w:sz w:val="26"/>
          <w:szCs w:val="26"/>
        </w:rPr>
      </w:pPr>
      <w:r w:rsidRPr="00664CF5">
        <w:rPr>
          <w:sz w:val="26"/>
          <w:szCs w:val="26"/>
        </w:rPr>
        <w:t>- проверка соблюдения требований законодательства при возведении объектов капитального строительства в сфере реализации национального проекта «Образование»;</w:t>
      </w:r>
    </w:p>
    <w:p w:rsidR="000C3DC3" w:rsidRPr="00664CF5" w:rsidRDefault="000C3DC3" w:rsidP="000C3DC3">
      <w:pPr>
        <w:ind w:firstLine="720"/>
        <w:jc w:val="both"/>
        <w:rPr>
          <w:sz w:val="26"/>
          <w:szCs w:val="26"/>
        </w:rPr>
      </w:pPr>
      <w:r w:rsidRPr="00664CF5">
        <w:rPr>
          <w:sz w:val="26"/>
          <w:szCs w:val="26"/>
        </w:rPr>
        <w:t>- проверка Администрации города Когалыма по исполнению законодательства при заключении и исполнении контрактов на оснащение, ремонт, реконструкцию детских музыкальных, художественных, хореографических школ, училищ и школ искусств;</w:t>
      </w:r>
    </w:p>
    <w:p w:rsidR="000C3DC3" w:rsidRPr="00664CF5" w:rsidRDefault="000C3DC3" w:rsidP="000C3DC3">
      <w:pPr>
        <w:ind w:firstLine="720"/>
        <w:jc w:val="both"/>
        <w:rPr>
          <w:sz w:val="26"/>
          <w:szCs w:val="26"/>
          <w:highlight w:val="lightGray"/>
        </w:rPr>
      </w:pPr>
      <w:r w:rsidRPr="00664CF5">
        <w:rPr>
          <w:sz w:val="26"/>
          <w:szCs w:val="26"/>
        </w:rPr>
        <w:t>- проверка исполнения законодательства при строительстве социально значимых объектов, в том числе при реализации национальных проектов и использовании инфраструктуры бюджетных кредитов.</w:t>
      </w:r>
    </w:p>
    <w:p w:rsidR="000C3DC3" w:rsidRPr="00664CF5" w:rsidRDefault="000C3DC3" w:rsidP="000C3DC3">
      <w:pPr>
        <w:ind w:firstLine="720"/>
        <w:jc w:val="both"/>
        <w:rPr>
          <w:sz w:val="26"/>
          <w:szCs w:val="26"/>
        </w:rPr>
      </w:pPr>
      <w:r w:rsidRPr="00664CF5">
        <w:rPr>
          <w:sz w:val="26"/>
          <w:szCs w:val="26"/>
        </w:rPr>
        <w:t>При проведении экспертных мероприятий большое внимание уделялось взаимодействию с инициаторами проектов правовых актов и проектов муниципальных программ. Таким образом, многие представленные на экспертизу материалы проектов нормативных правовых актов города Когалыма дорабатывались субъектами нормотворческой инициативы на стадии подготовки заключения, с учётом замечаний и предложений Контрольно-счетной палаты.</w:t>
      </w:r>
    </w:p>
    <w:p w:rsidR="000C3DC3" w:rsidRPr="00664CF5" w:rsidRDefault="000C3DC3" w:rsidP="000C3DC3">
      <w:pPr>
        <w:ind w:firstLine="720"/>
        <w:jc w:val="both"/>
        <w:rPr>
          <w:sz w:val="26"/>
          <w:szCs w:val="26"/>
        </w:rPr>
      </w:pPr>
      <w:r w:rsidRPr="00664CF5">
        <w:rPr>
          <w:sz w:val="26"/>
          <w:szCs w:val="26"/>
        </w:rPr>
        <w:t>По итогам проведенных экспертно-аналитических мероприятий объектам проверок и субъектам правотворческой инициативы, направлены заключения, содержащие не только замечания по рассмотренным документам, но и конкретные предложения, направленные на совершенствование муниципальных правовых актов, формируемой бюджетной отчётности, бюджетного процесса.</w:t>
      </w:r>
    </w:p>
    <w:p w:rsidR="000C3DC3" w:rsidRPr="00664CF5" w:rsidRDefault="000C3DC3" w:rsidP="000C3DC3">
      <w:pPr>
        <w:ind w:firstLine="720"/>
        <w:jc w:val="both"/>
        <w:rPr>
          <w:sz w:val="26"/>
          <w:szCs w:val="26"/>
        </w:rPr>
      </w:pPr>
      <w:r w:rsidRPr="00664CF5">
        <w:rPr>
          <w:sz w:val="26"/>
          <w:szCs w:val="26"/>
        </w:rPr>
        <w:t>Всего по результатам проведенных мероприятий Контрольно-счетной палатой объектам проверок внесено 47 предложений и рекомендаций, 37 из которых исполнены и (или) учтены при принятии решений, а также при утверждении нормативных актов. Кроме этого объектами проверок в 2023 году исполнены 13 предложений (рекомендаций), внесенных в 2022 году.</w:t>
      </w:r>
    </w:p>
    <w:p w:rsidR="000C3DC3" w:rsidRPr="00664CF5" w:rsidRDefault="000C3DC3" w:rsidP="000C3DC3">
      <w:pPr>
        <w:ind w:firstLine="720"/>
        <w:jc w:val="both"/>
        <w:rPr>
          <w:sz w:val="26"/>
          <w:szCs w:val="26"/>
        </w:rPr>
      </w:pPr>
      <w:r w:rsidRPr="00664CF5">
        <w:rPr>
          <w:sz w:val="26"/>
          <w:szCs w:val="26"/>
        </w:rPr>
        <w:t>По рекомендациям Контрольно-счетной палаты внесены изменения в следующие нормативные акты:</w:t>
      </w:r>
    </w:p>
    <w:p w:rsidR="000C3DC3" w:rsidRPr="00664CF5" w:rsidRDefault="000C3DC3" w:rsidP="000C3DC3">
      <w:pPr>
        <w:ind w:firstLine="720"/>
        <w:jc w:val="both"/>
        <w:rPr>
          <w:sz w:val="26"/>
          <w:szCs w:val="26"/>
        </w:rPr>
      </w:pPr>
      <w:r w:rsidRPr="00664CF5">
        <w:rPr>
          <w:sz w:val="26"/>
          <w:szCs w:val="26"/>
        </w:rPr>
        <w:t>- решение Думы города Когалыма от 14.12.2022 №199-ГД «О бюджете города Когалыма на 2023 год и на плановый период 2024 и 2025 годов»;</w:t>
      </w:r>
    </w:p>
    <w:p w:rsidR="000C3DC3" w:rsidRPr="00664CF5" w:rsidRDefault="000C3DC3" w:rsidP="000C3DC3">
      <w:pPr>
        <w:ind w:firstLine="720"/>
        <w:jc w:val="both"/>
        <w:rPr>
          <w:sz w:val="26"/>
          <w:szCs w:val="26"/>
        </w:rPr>
      </w:pPr>
      <w:r w:rsidRPr="00664CF5">
        <w:rPr>
          <w:sz w:val="26"/>
          <w:szCs w:val="26"/>
        </w:rPr>
        <w:t>- постановление Администрации города Когалыма от 19.08.2020 №1477 «Об утверждении Порядка формирования перечня налоговых расходов и оценки налоговых расходов города Когалыма»;</w:t>
      </w:r>
    </w:p>
    <w:p w:rsidR="000C3DC3" w:rsidRPr="00664CF5" w:rsidRDefault="000C3DC3" w:rsidP="000C3DC3">
      <w:pPr>
        <w:ind w:firstLine="720"/>
        <w:jc w:val="both"/>
        <w:rPr>
          <w:sz w:val="26"/>
          <w:szCs w:val="26"/>
        </w:rPr>
      </w:pPr>
      <w:r w:rsidRPr="00664CF5">
        <w:rPr>
          <w:sz w:val="26"/>
          <w:szCs w:val="26"/>
        </w:rPr>
        <w:t>- постановление Администрации города Когалыма от 25</w:t>
      </w:r>
      <w:r>
        <w:rPr>
          <w:sz w:val="26"/>
          <w:szCs w:val="26"/>
        </w:rPr>
        <w:t>.</w:t>
      </w:r>
      <w:r w:rsidRPr="00664CF5">
        <w:rPr>
          <w:sz w:val="26"/>
          <w:szCs w:val="26"/>
        </w:rPr>
        <w:t>10</w:t>
      </w:r>
      <w:r>
        <w:rPr>
          <w:sz w:val="26"/>
          <w:szCs w:val="26"/>
        </w:rPr>
        <w:t>.</w:t>
      </w:r>
      <w:r w:rsidRPr="00664CF5">
        <w:rPr>
          <w:sz w:val="26"/>
          <w:szCs w:val="26"/>
        </w:rPr>
        <w:t>2018 №2364 «Об утверждении Положения об оплате труда и стимулирующих выплатах муниципальных учреждений культуры города Когалыма»;</w:t>
      </w:r>
    </w:p>
    <w:p w:rsidR="000C3DC3" w:rsidRPr="00664CF5" w:rsidRDefault="000C3DC3" w:rsidP="000C3DC3">
      <w:pPr>
        <w:ind w:firstLine="720"/>
        <w:jc w:val="both"/>
        <w:rPr>
          <w:sz w:val="26"/>
          <w:szCs w:val="26"/>
        </w:rPr>
      </w:pPr>
      <w:r w:rsidRPr="00664CF5">
        <w:rPr>
          <w:sz w:val="26"/>
          <w:szCs w:val="26"/>
        </w:rPr>
        <w:t>- постановление Администрации города Когалыма от 31.05.2021 №1145 «Об утверждении Порядка предоставления субсидий частным дошкольным образовательным организациям на территории города Когалыма</w:t>
      </w:r>
      <w:r>
        <w:rPr>
          <w:sz w:val="26"/>
          <w:szCs w:val="26"/>
        </w:rPr>
        <w:t>»</w:t>
      </w:r>
      <w:r w:rsidRPr="00664CF5">
        <w:rPr>
          <w:sz w:val="26"/>
          <w:szCs w:val="26"/>
        </w:rPr>
        <w:t>.</w:t>
      </w:r>
    </w:p>
    <w:p w:rsidR="000C3DC3" w:rsidRPr="00664CF5" w:rsidRDefault="000C3DC3" w:rsidP="000C3DC3">
      <w:pPr>
        <w:ind w:firstLine="720"/>
        <w:jc w:val="both"/>
        <w:rPr>
          <w:sz w:val="26"/>
          <w:szCs w:val="26"/>
        </w:rPr>
      </w:pPr>
      <w:r w:rsidRPr="00664CF5">
        <w:rPr>
          <w:sz w:val="26"/>
          <w:szCs w:val="26"/>
        </w:rPr>
        <w:t>Кроме этого, в соответствии с предложениями Контрольно-счетной палаты, внесены изменения в учредительные документы и локальные акты муниципальных учреждений</w:t>
      </w:r>
      <w:r w:rsidRPr="00664CF5">
        <w:t xml:space="preserve"> </w:t>
      </w:r>
      <w:r w:rsidRPr="00664CF5">
        <w:rPr>
          <w:sz w:val="26"/>
          <w:szCs w:val="26"/>
        </w:rPr>
        <w:t xml:space="preserve">с целью приведения их в соответствие с требованиями действующего законодательства, в том числе изменены: </w:t>
      </w:r>
    </w:p>
    <w:p w:rsidR="000C3DC3" w:rsidRPr="00664CF5" w:rsidRDefault="000C3DC3" w:rsidP="000C3DC3">
      <w:pPr>
        <w:ind w:firstLine="720"/>
        <w:jc w:val="both"/>
        <w:rPr>
          <w:sz w:val="26"/>
          <w:szCs w:val="26"/>
        </w:rPr>
      </w:pPr>
      <w:r w:rsidRPr="00664CF5">
        <w:rPr>
          <w:sz w:val="26"/>
          <w:szCs w:val="26"/>
        </w:rPr>
        <w:t>- уставы 3 учреждений;</w:t>
      </w:r>
    </w:p>
    <w:p w:rsidR="000C3DC3" w:rsidRPr="00664CF5" w:rsidRDefault="000C3DC3" w:rsidP="000C3DC3">
      <w:pPr>
        <w:ind w:firstLine="720"/>
        <w:jc w:val="both"/>
        <w:rPr>
          <w:sz w:val="26"/>
          <w:szCs w:val="26"/>
        </w:rPr>
      </w:pPr>
      <w:r w:rsidRPr="00664CF5">
        <w:rPr>
          <w:sz w:val="26"/>
          <w:szCs w:val="26"/>
        </w:rPr>
        <w:t>- коллективные договоры 2 учреждений;</w:t>
      </w:r>
    </w:p>
    <w:p w:rsidR="000C3DC3" w:rsidRPr="00664CF5" w:rsidRDefault="000C3DC3" w:rsidP="000C3DC3">
      <w:pPr>
        <w:ind w:firstLine="720"/>
        <w:jc w:val="both"/>
        <w:rPr>
          <w:sz w:val="26"/>
          <w:szCs w:val="26"/>
        </w:rPr>
      </w:pPr>
      <w:r w:rsidRPr="00664CF5">
        <w:rPr>
          <w:sz w:val="26"/>
          <w:szCs w:val="26"/>
        </w:rPr>
        <w:lastRenderedPageBreak/>
        <w:t>- положение об оплате труда 1 учреждения;</w:t>
      </w:r>
    </w:p>
    <w:p w:rsidR="000C3DC3" w:rsidRPr="00664CF5" w:rsidRDefault="000C3DC3" w:rsidP="000C3DC3">
      <w:pPr>
        <w:ind w:firstLine="720"/>
        <w:jc w:val="both"/>
        <w:rPr>
          <w:sz w:val="26"/>
          <w:szCs w:val="26"/>
        </w:rPr>
      </w:pPr>
      <w:r w:rsidRPr="00664CF5">
        <w:rPr>
          <w:sz w:val="26"/>
          <w:szCs w:val="26"/>
        </w:rPr>
        <w:t>- положение о контрактной службе 1 учреждения;</w:t>
      </w:r>
    </w:p>
    <w:p w:rsidR="000C3DC3" w:rsidRPr="00664CF5" w:rsidRDefault="000C3DC3" w:rsidP="000C3DC3">
      <w:pPr>
        <w:ind w:firstLine="720"/>
        <w:jc w:val="both"/>
        <w:rPr>
          <w:sz w:val="26"/>
          <w:szCs w:val="26"/>
        </w:rPr>
      </w:pPr>
      <w:r w:rsidRPr="00664CF5">
        <w:rPr>
          <w:sz w:val="26"/>
          <w:szCs w:val="26"/>
        </w:rPr>
        <w:t>- учетная политика 1 учреждения.</w:t>
      </w:r>
    </w:p>
    <w:p w:rsidR="000C3DC3" w:rsidRPr="00664CF5" w:rsidRDefault="000C3DC3" w:rsidP="000C3DC3">
      <w:pPr>
        <w:ind w:firstLine="720"/>
        <w:jc w:val="both"/>
        <w:rPr>
          <w:sz w:val="26"/>
          <w:szCs w:val="26"/>
        </w:rPr>
      </w:pPr>
    </w:p>
    <w:p w:rsidR="000C3DC3" w:rsidRPr="00664CF5" w:rsidRDefault="000C3DC3" w:rsidP="000C3DC3">
      <w:pPr>
        <w:shd w:val="clear" w:color="auto" w:fill="FFFFFF"/>
        <w:ind w:firstLine="720"/>
        <w:jc w:val="both"/>
        <w:rPr>
          <w:sz w:val="26"/>
          <w:szCs w:val="26"/>
        </w:rPr>
      </w:pPr>
      <w:r w:rsidRPr="00664CF5">
        <w:rPr>
          <w:sz w:val="26"/>
          <w:szCs w:val="26"/>
        </w:rPr>
        <w:t>Основные показатели экспертно-аналитической деятельности за 2023 год представлены в таблице:</w:t>
      </w:r>
    </w:p>
    <w:p w:rsidR="000C3DC3" w:rsidRPr="00664CF5" w:rsidRDefault="000C3DC3" w:rsidP="000C3DC3">
      <w:pPr>
        <w:shd w:val="clear" w:color="auto" w:fill="FFFFFF"/>
        <w:ind w:firstLine="720"/>
        <w:jc w:val="both"/>
        <w:rPr>
          <w:sz w:val="6"/>
          <w:szCs w:val="6"/>
        </w:rPr>
      </w:pPr>
    </w:p>
    <w:tbl>
      <w:tblPr>
        <w:tblW w:w="8804" w:type="dxa"/>
        <w:tblCellMar>
          <w:left w:w="0" w:type="dxa"/>
          <w:right w:w="0" w:type="dxa"/>
        </w:tblCellMar>
        <w:tblLook w:val="04A0" w:firstRow="1" w:lastRow="0" w:firstColumn="1" w:lastColumn="0" w:noHBand="0" w:noVBand="1"/>
      </w:tblPr>
      <w:tblGrid>
        <w:gridCol w:w="480"/>
        <w:gridCol w:w="6481"/>
        <w:gridCol w:w="1843"/>
      </w:tblGrid>
      <w:tr w:rsidR="000C3DC3" w:rsidRPr="00664CF5" w:rsidTr="00A92D1E">
        <w:tc>
          <w:tcPr>
            <w:tcW w:w="4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pPr>
              <w:jc w:val="center"/>
            </w:pPr>
            <w:r w:rsidRPr="00664CF5">
              <w:t>№ п/п</w:t>
            </w:r>
          </w:p>
        </w:tc>
        <w:tc>
          <w:tcPr>
            <w:tcW w:w="6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pPr>
              <w:jc w:val="center"/>
            </w:pPr>
            <w:r w:rsidRPr="00664CF5">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pPr>
              <w:jc w:val="center"/>
              <w:rPr>
                <w:lang w:val="en-US"/>
              </w:rPr>
            </w:pPr>
            <w:r w:rsidRPr="00664CF5">
              <w:t>202</w:t>
            </w:r>
            <w:r w:rsidRPr="00664CF5">
              <w:rPr>
                <w:lang w:val="en-US"/>
              </w:rPr>
              <w:t>3</w:t>
            </w:r>
            <w:r w:rsidRPr="00664CF5">
              <w:t xml:space="preserve"> год</w:t>
            </w:r>
          </w:p>
        </w:tc>
      </w:tr>
      <w:tr w:rsidR="000C3DC3" w:rsidRPr="00664CF5" w:rsidTr="00A92D1E">
        <w:tc>
          <w:tcPr>
            <w:tcW w:w="4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1.</w:t>
            </w:r>
          </w:p>
        </w:tc>
        <w:tc>
          <w:tcPr>
            <w:tcW w:w="6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r w:rsidRPr="00664CF5">
              <w:t>Проведено экспертно-аналитических мероприятий (за исключением экспертиз проектов нормативных правовых актов)</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rPr>
                <w:lang w:val="en-US"/>
              </w:rPr>
            </w:pPr>
            <w:r w:rsidRPr="00664CF5">
              <w:rPr>
                <w:lang w:val="en-US"/>
              </w:rPr>
              <w:t>15</w:t>
            </w:r>
          </w:p>
        </w:tc>
      </w:tr>
      <w:tr w:rsidR="000C3DC3" w:rsidRPr="00664CF5" w:rsidTr="00A92D1E">
        <w:tc>
          <w:tcPr>
            <w:tcW w:w="4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2.</w:t>
            </w:r>
          </w:p>
        </w:tc>
        <w:tc>
          <w:tcPr>
            <w:tcW w:w="6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r w:rsidRPr="00664CF5">
              <w:t>Количество объектов проведенных экспертно-аналитических мероприятий, ед.</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rPr>
                <w:lang w:val="en-US"/>
              </w:rPr>
            </w:pPr>
            <w:r w:rsidRPr="00664CF5">
              <w:rPr>
                <w:lang w:val="en-US"/>
              </w:rPr>
              <w:t>29</w:t>
            </w:r>
          </w:p>
        </w:tc>
      </w:tr>
      <w:tr w:rsidR="000C3DC3" w:rsidRPr="00664CF5" w:rsidTr="00A92D1E">
        <w:tc>
          <w:tcPr>
            <w:tcW w:w="4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3.</w:t>
            </w:r>
          </w:p>
        </w:tc>
        <w:tc>
          <w:tcPr>
            <w:tcW w:w="6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r w:rsidRPr="00664CF5">
              <w:t>Количество проведенных экспертиз проектов нормативных правовых актов, ед.</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rPr>
                <w:lang w:val="en-US"/>
              </w:rPr>
            </w:pPr>
            <w:r w:rsidRPr="00664CF5">
              <w:rPr>
                <w:lang w:val="en-US"/>
              </w:rPr>
              <w:t>135</w:t>
            </w:r>
          </w:p>
        </w:tc>
      </w:tr>
      <w:tr w:rsidR="000C3DC3" w:rsidRPr="00664CF5" w:rsidTr="00A92D1E">
        <w:trPr>
          <w:trHeight w:val="424"/>
        </w:trPr>
        <w:tc>
          <w:tcPr>
            <w:tcW w:w="4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4.</w:t>
            </w:r>
          </w:p>
        </w:tc>
        <w:tc>
          <w:tcPr>
            <w:tcW w:w="6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r w:rsidRPr="00664CF5">
              <w:t>Выявлено нарушений и недостатков (тыс. рублей/ количество)</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328,</w:t>
            </w:r>
            <w:r w:rsidRPr="00664CF5">
              <w:rPr>
                <w:lang w:val="en-US"/>
              </w:rPr>
              <w:t>6</w:t>
            </w:r>
            <w:r w:rsidRPr="00664CF5">
              <w:t xml:space="preserve"> / 41</w:t>
            </w:r>
          </w:p>
        </w:tc>
      </w:tr>
      <w:tr w:rsidR="000C3DC3" w:rsidRPr="00664CF5" w:rsidTr="00A92D1E">
        <w:trPr>
          <w:trHeight w:val="402"/>
        </w:trPr>
        <w:tc>
          <w:tcPr>
            <w:tcW w:w="4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5.</w:t>
            </w:r>
          </w:p>
        </w:tc>
        <w:tc>
          <w:tcPr>
            <w:tcW w:w="6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r w:rsidRPr="00664CF5">
              <w:t>Устранено выявленных нарушений (тыс. рублей/ количество)</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rPr>
                <w:lang w:val="en-US"/>
              </w:rPr>
            </w:pPr>
            <w:r w:rsidRPr="00664CF5">
              <w:t xml:space="preserve">328,6 / </w:t>
            </w:r>
            <w:r w:rsidRPr="00664CF5">
              <w:rPr>
                <w:lang w:val="en-US"/>
              </w:rPr>
              <w:t>24</w:t>
            </w:r>
          </w:p>
        </w:tc>
      </w:tr>
      <w:tr w:rsidR="000C3DC3" w:rsidRPr="00664CF5" w:rsidTr="00A92D1E">
        <w:trPr>
          <w:trHeight w:val="488"/>
        </w:trPr>
        <w:tc>
          <w:tcPr>
            <w:tcW w:w="8804"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Контроль формирования и исполнения бюджета города Когалыма</w:t>
            </w:r>
          </w:p>
        </w:tc>
      </w:tr>
      <w:tr w:rsidR="000C3DC3" w:rsidRPr="00664CF5" w:rsidTr="00A92D1E">
        <w:tc>
          <w:tcPr>
            <w:tcW w:w="4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6.</w:t>
            </w:r>
          </w:p>
        </w:tc>
        <w:tc>
          <w:tcPr>
            <w:tcW w:w="64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r w:rsidRPr="00664CF5">
              <w:t>Внешняя проверка годового отчёта об исполнении бюджета, ед.</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pPr>
              <w:jc w:val="center"/>
            </w:pPr>
            <w:r w:rsidRPr="00664CF5">
              <w:t xml:space="preserve">1 </w:t>
            </w:r>
          </w:p>
        </w:tc>
      </w:tr>
      <w:tr w:rsidR="000C3DC3" w:rsidRPr="00664CF5" w:rsidTr="00A92D1E">
        <w:tc>
          <w:tcPr>
            <w:tcW w:w="4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7.</w:t>
            </w:r>
          </w:p>
        </w:tc>
        <w:tc>
          <w:tcPr>
            <w:tcW w:w="64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r w:rsidRPr="00664CF5">
              <w:t>Объём средств, охваченных внешней проверкой годового отчёта об исполнении бюджета, тыс. рублей</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12 216 564,60</w:t>
            </w:r>
          </w:p>
        </w:tc>
      </w:tr>
      <w:tr w:rsidR="000C3DC3" w:rsidRPr="00664CF5" w:rsidTr="00A92D1E">
        <w:tc>
          <w:tcPr>
            <w:tcW w:w="4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8.</w:t>
            </w:r>
          </w:p>
        </w:tc>
        <w:tc>
          <w:tcPr>
            <w:tcW w:w="64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r w:rsidRPr="00664CF5">
              <w:t>Экспертиза изменений и дополнений в бюджет города на текущий (отчётный) год, ед.</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4</w:t>
            </w:r>
          </w:p>
        </w:tc>
      </w:tr>
      <w:tr w:rsidR="000C3DC3" w:rsidRPr="00664CF5" w:rsidTr="00A92D1E">
        <w:tc>
          <w:tcPr>
            <w:tcW w:w="4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9.</w:t>
            </w:r>
          </w:p>
        </w:tc>
        <w:tc>
          <w:tcPr>
            <w:tcW w:w="64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r w:rsidRPr="00664CF5">
              <w:t>Объём средств, охваченных в рамках экспертизы изменений и дополнений в бюджет города на текущий (отчётный) год, тыс. рублей</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2 352 453,8</w:t>
            </w:r>
          </w:p>
        </w:tc>
      </w:tr>
      <w:tr w:rsidR="000C3DC3" w:rsidRPr="00664CF5" w:rsidTr="00A92D1E">
        <w:tc>
          <w:tcPr>
            <w:tcW w:w="4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10.</w:t>
            </w:r>
          </w:p>
        </w:tc>
        <w:tc>
          <w:tcPr>
            <w:tcW w:w="64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r w:rsidRPr="00664CF5">
              <w:t>Экспертиза проекта бюджета города на очередной год, ед.</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1</w:t>
            </w:r>
          </w:p>
        </w:tc>
      </w:tr>
      <w:tr w:rsidR="000C3DC3" w:rsidRPr="00664CF5" w:rsidTr="00A92D1E">
        <w:tc>
          <w:tcPr>
            <w:tcW w:w="4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11.</w:t>
            </w:r>
          </w:p>
        </w:tc>
        <w:tc>
          <w:tcPr>
            <w:tcW w:w="64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r w:rsidRPr="00664CF5">
              <w:t>Объём средств, охваченных в рамках экспертизы проекта бюджета города на очередной год, тыс. рублей</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rPr>
                <w:highlight w:val="yellow"/>
              </w:rPr>
            </w:pPr>
            <w:r w:rsidRPr="00664CF5">
              <w:rPr>
                <w:lang w:val="en-US"/>
              </w:rPr>
              <w:t>13 120 740</w:t>
            </w:r>
            <w:r w:rsidRPr="00664CF5">
              <w:t>,</w:t>
            </w:r>
            <w:r w:rsidRPr="00664CF5">
              <w:rPr>
                <w:lang w:val="en-US"/>
              </w:rPr>
              <w:t>0</w:t>
            </w:r>
          </w:p>
        </w:tc>
      </w:tr>
      <w:tr w:rsidR="000C3DC3" w:rsidRPr="00664CF5" w:rsidTr="00A92D1E">
        <w:tc>
          <w:tcPr>
            <w:tcW w:w="4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12.</w:t>
            </w:r>
          </w:p>
        </w:tc>
        <w:tc>
          <w:tcPr>
            <w:tcW w:w="6481"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r w:rsidRPr="00664CF5">
              <w:t>Анализ отчётов об исполнении бюджета города за текущий (отчётный) год, ед.</w:t>
            </w:r>
          </w:p>
        </w:tc>
        <w:tc>
          <w:tcPr>
            <w:tcW w:w="1843" w:type="dxa"/>
            <w:tcBorders>
              <w:top w:val="nil"/>
              <w:left w:val="nil"/>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3</w:t>
            </w:r>
          </w:p>
        </w:tc>
      </w:tr>
      <w:tr w:rsidR="000C3DC3" w:rsidRPr="00664CF5" w:rsidTr="00A92D1E">
        <w:tc>
          <w:tcPr>
            <w:tcW w:w="4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pPr>
            <w:r w:rsidRPr="00664CF5">
              <w:t>13.</w:t>
            </w:r>
          </w:p>
        </w:tc>
        <w:tc>
          <w:tcPr>
            <w:tcW w:w="64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C3DC3" w:rsidRPr="00664CF5" w:rsidRDefault="000C3DC3" w:rsidP="00A92D1E">
            <w:r w:rsidRPr="00664CF5">
              <w:t>Объём средств, охваченных в рамках анализа отчётов об исполнении бюджета города за текущий (отчётный) год, тыс. рублей</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C3DC3" w:rsidRPr="00664CF5" w:rsidRDefault="000C3DC3" w:rsidP="00A92D1E">
            <w:pPr>
              <w:jc w:val="center"/>
              <w:rPr>
                <w:lang w:val="en-US"/>
              </w:rPr>
            </w:pPr>
            <w:r w:rsidRPr="00664CF5">
              <w:t>8 471 275,3</w:t>
            </w:r>
          </w:p>
        </w:tc>
      </w:tr>
    </w:tbl>
    <w:p w:rsidR="000C3DC3" w:rsidRPr="00664CF5" w:rsidRDefault="000C3DC3" w:rsidP="000C3DC3">
      <w:pPr>
        <w:ind w:firstLine="720"/>
        <w:jc w:val="center"/>
        <w:rPr>
          <w:sz w:val="26"/>
          <w:szCs w:val="26"/>
        </w:rPr>
      </w:pPr>
    </w:p>
    <w:p w:rsidR="000C3DC3" w:rsidRPr="00664CF5" w:rsidRDefault="000C3DC3" w:rsidP="000C3DC3">
      <w:pPr>
        <w:ind w:firstLine="720"/>
        <w:jc w:val="center"/>
        <w:rPr>
          <w:sz w:val="26"/>
          <w:szCs w:val="26"/>
        </w:rPr>
      </w:pPr>
      <w:r w:rsidRPr="00664CF5">
        <w:rPr>
          <w:sz w:val="26"/>
          <w:szCs w:val="26"/>
        </w:rPr>
        <w:t xml:space="preserve">4. Информационная и иная деятельность </w:t>
      </w:r>
    </w:p>
    <w:p w:rsidR="000C3DC3" w:rsidRPr="00664CF5" w:rsidRDefault="000C3DC3" w:rsidP="000C3DC3">
      <w:pPr>
        <w:ind w:firstLine="720"/>
        <w:jc w:val="center"/>
        <w:rPr>
          <w:sz w:val="26"/>
          <w:szCs w:val="26"/>
        </w:rPr>
      </w:pPr>
      <w:r w:rsidRPr="00664CF5">
        <w:rPr>
          <w:sz w:val="26"/>
          <w:szCs w:val="26"/>
        </w:rPr>
        <w:t xml:space="preserve">Контрольно-счетной палаты </w:t>
      </w:r>
    </w:p>
    <w:p w:rsidR="000C3DC3" w:rsidRPr="00664CF5" w:rsidRDefault="000C3DC3" w:rsidP="000C3DC3">
      <w:pPr>
        <w:ind w:firstLine="720"/>
        <w:jc w:val="both"/>
        <w:rPr>
          <w:sz w:val="26"/>
          <w:szCs w:val="26"/>
        </w:rPr>
      </w:pPr>
    </w:p>
    <w:p w:rsidR="000C3DC3" w:rsidRPr="00664CF5" w:rsidRDefault="000C3DC3" w:rsidP="000C3DC3">
      <w:pPr>
        <w:ind w:firstLine="720"/>
        <w:jc w:val="both"/>
        <w:rPr>
          <w:sz w:val="26"/>
          <w:szCs w:val="26"/>
        </w:rPr>
      </w:pPr>
      <w:r w:rsidRPr="00664CF5">
        <w:rPr>
          <w:sz w:val="26"/>
          <w:szCs w:val="26"/>
        </w:rPr>
        <w:t xml:space="preserve">В отчётном году информационная деятельность Контрольно-счетной палаты осуществлялась посредством направления в Думу города Когалыма и главе города Когалыма результатов контрольных и экспертно-аналитических мероприятий, регулярного размещения информации о своей деятельности в средствах массовой информации, а также представления Думе города Когалыма ежегодного отчёта о деятельности Контрольно-счетной палаты, подлежащего обязательному опубликованию. </w:t>
      </w:r>
    </w:p>
    <w:p w:rsidR="000C3DC3" w:rsidRPr="00664CF5" w:rsidRDefault="000C3DC3" w:rsidP="000C3DC3">
      <w:pPr>
        <w:ind w:firstLine="720"/>
        <w:jc w:val="both"/>
        <w:rPr>
          <w:sz w:val="26"/>
          <w:szCs w:val="26"/>
        </w:rPr>
      </w:pPr>
      <w:r w:rsidRPr="00664CF5">
        <w:rPr>
          <w:sz w:val="26"/>
          <w:szCs w:val="26"/>
        </w:rPr>
        <w:t xml:space="preserve">В целях обеспечения доступа к своей информации, в отчётном году на официальном сайте </w:t>
      </w:r>
      <w:r>
        <w:rPr>
          <w:sz w:val="26"/>
          <w:szCs w:val="26"/>
        </w:rPr>
        <w:t>органов местного самоуправления</w:t>
      </w:r>
      <w:r w:rsidRPr="00664CF5">
        <w:rPr>
          <w:sz w:val="26"/>
          <w:szCs w:val="26"/>
        </w:rPr>
        <w:t xml:space="preserve"> города Когалыма</w:t>
      </w:r>
      <w:r>
        <w:rPr>
          <w:sz w:val="26"/>
          <w:szCs w:val="26"/>
        </w:rPr>
        <w:t xml:space="preserve"> (далее </w:t>
      </w:r>
      <w:r>
        <w:rPr>
          <w:sz w:val="26"/>
          <w:szCs w:val="26"/>
        </w:rPr>
        <w:lastRenderedPageBreak/>
        <w:t xml:space="preserve">– официальный сайт) </w:t>
      </w:r>
      <w:r w:rsidRPr="00664CF5">
        <w:rPr>
          <w:sz w:val="26"/>
          <w:szCs w:val="26"/>
        </w:rPr>
        <w:t xml:space="preserve">в разделе «Контрольно-счетная палата» размещено 159 материалов о результатах проведенных контрольных и экспертно-аналитических мероприятий. </w:t>
      </w:r>
    </w:p>
    <w:p w:rsidR="000C3DC3" w:rsidRPr="00664CF5" w:rsidRDefault="000C3DC3" w:rsidP="000C3DC3">
      <w:pPr>
        <w:ind w:firstLine="720"/>
        <w:jc w:val="both"/>
        <w:rPr>
          <w:sz w:val="26"/>
          <w:szCs w:val="26"/>
        </w:rPr>
      </w:pPr>
      <w:r w:rsidRPr="00664CF5">
        <w:rPr>
          <w:sz w:val="26"/>
          <w:szCs w:val="26"/>
        </w:rPr>
        <w:t xml:space="preserve">Отчёт о деятельности Контрольно-счетной палаты за 2022 год опубликован в газете «Когалымский вестник». </w:t>
      </w:r>
    </w:p>
    <w:p w:rsidR="000C3DC3" w:rsidRPr="00FA3737" w:rsidRDefault="000C3DC3" w:rsidP="000C3DC3">
      <w:pPr>
        <w:ind w:firstLine="720"/>
        <w:jc w:val="both"/>
        <w:rPr>
          <w:sz w:val="26"/>
          <w:szCs w:val="26"/>
        </w:rPr>
      </w:pPr>
      <w:r w:rsidRPr="00664CF5">
        <w:rPr>
          <w:sz w:val="26"/>
          <w:szCs w:val="26"/>
        </w:rPr>
        <w:t xml:space="preserve">Ведутся аккаунты (официальные страницы) Контрольно-счетной </w:t>
      </w:r>
      <w:r w:rsidRPr="00FA3737">
        <w:rPr>
          <w:sz w:val="26"/>
          <w:szCs w:val="26"/>
        </w:rPr>
        <w:t>палаты в социальных сетях «</w:t>
      </w:r>
      <w:proofErr w:type="spellStart"/>
      <w:r w:rsidRPr="00FA3737">
        <w:rPr>
          <w:sz w:val="26"/>
          <w:szCs w:val="26"/>
        </w:rPr>
        <w:t>ВКонтакте</w:t>
      </w:r>
      <w:proofErr w:type="spellEnd"/>
      <w:r w:rsidRPr="00FA3737">
        <w:rPr>
          <w:sz w:val="26"/>
          <w:szCs w:val="26"/>
        </w:rPr>
        <w:t xml:space="preserve">» и «Одноклассники», где также размещаются итоги контрольных и экспертных мероприятий и иная информация о деятельности Контрольно-счетной палаты. </w:t>
      </w:r>
    </w:p>
    <w:p w:rsidR="000C3DC3" w:rsidRPr="00664CF5" w:rsidRDefault="000C3DC3" w:rsidP="000C3DC3">
      <w:pPr>
        <w:ind w:firstLine="720"/>
        <w:jc w:val="both"/>
        <w:rPr>
          <w:sz w:val="26"/>
          <w:szCs w:val="26"/>
        </w:rPr>
      </w:pPr>
      <w:r w:rsidRPr="00FA3737">
        <w:rPr>
          <w:sz w:val="26"/>
          <w:szCs w:val="26"/>
        </w:rPr>
        <w:t>На официальном сайте размещены нормативные документы, план работы, информация о заключенных в рамках взаимодействия соглашениях, информация об антикоррупционной деятельности и прочая информация, размещение которой предусмотрено законодательством</w:t>
      </w:r>
      <w:r w:rsidRPr="00664CF5">
        <w:rPr>
          <w:sz w:val="26"/>
          <w:szCs w:val="26"/>
        </w:rPr>
        <w:t>.</w:t>
      </w:r>
    </w:p>
    <w:p w:rsidR="000C3DC3" w:rsidRPr="00664CF5" w:rsidRDefault="000C3DC3" w:rsidP="000C3DC3">
      <w:pPr>
        <w:ind w:firstLine="720"/>
        <w:jc w:val="both"/>
        <w:rPr>
          <w:sz w:val="26"/>
          <w:szCs w:val="26"/>
        </w:rPr>
      </w:pPr>
      <w:r w:rsidRPr="00664CF5">
        <w:rPr>
          <w:sz w:val="26"/>
          <w:szCs w:val="26"/>
        </w:rPr>
        <w:t>В течение года Контрольно-счетная палата участвовала в совместных совещаниях с Администрацией города Когалыма, на которых обсуждались результаты контрольных мероприятий, проведенных Контрольно-счетной палатой и принимались соответствующие решения.</w:t>
      </w:r>
    </w:p>
    <w:p w:rsidR="000C3DC3" w:rsidRPr="00664CF5" w:rsidRDefault="000C3DC3" w:rsidP="000C3DC3">
      <w:pPr>
        <w:ind w:firstLine="720"/>
        <w:jc w:val="both"/>
        <w:rPr>
          <w:sz w:val="26"/>
          <w:szCs w:val="26"/>
        </w:rPr>
      </w:pPr>
      <w:r w:rsidRPr="00664CF5">
        <w:rPr>
          <w:sz w:val="26"/>
          <w:szCs w:val="26"/>
        </w:rPr>
        <w:t>В рамках проведения профилактической работы среди участников бюджетного процесса, экономических (бухгалтерских) служб муниципальных учреждений и унитарных предприятий, с целью укрепления финансово-бюджетной дисциплины, составлен обзор нарушений и недостатков, выявленных Контрольно-счетной палатой города Когалыма при проведении контрольных и экспертно-аналитических мероприятий в 2022 году, и направлен главе города Когалыма с рекомендацией доведения его до сведения руководителей органов местного самоуправления, муниципальных учреждений и унитарных предприятий города Когалыма.</w:t>
      </w:r>
    </w:p>
    <w:p w:rsidR="000C3DC3" w:rsidRPr="00664CF5" w:rsidRDefault="000C3DC3" w:rsidP="000C3DC3">
      <w:pPr>
        <w:ind w:firstLine="720"/>
        <w:jc w:val="both"/>
        <w:rPr>
          <w:sz w:val="26"/>
          <w:szCs w:val="26"/>
        </w:rPr>
      </w:pPr>
      <w:r w:rsidRPr="00664CF5">
        <w:rPr>
          <w:sz w:val="26"/>
          <w:szCs w:val="26"/>
        </w:rPr>
        <w:t xml:space="preserve">Информация об итогах контрольных мероприятий представлена 19.12.2023 на заседании Комиссии по координации работы по противодействию коррупции в городе Когалыме. </w:t>
      </w:r>
    </w:p>
    <w:p w:rsidR="000C3DC3" w:rsidRPr="00664CF5" w:rsidRDefault="000C3DC3" w:rsidP="000C3DC3">
      <w:pPr>
        <w:ind w:firstLine="720"/>
        <w:jc w:val="both"/>
        <w:rPr>
          <w:sz w:val="26"/>
          <w:szCs w:val="26"/>
        </w:rPr>
      </w:pPr>
      <w:r w:rsidRPr="00664CF5">
        <w:rPr>
          <w:sz w:val="26"/>
          <w:szCs w:val="26"/>
        </w:rPr>
        <w:t>Председатель Контрольно-счетной палаты, иные должностные лица Контрольно-счетной палаты принимали участие в заседаниях Думы города Когалыма и ее постоянных комиссий.</w:t>
      </w:r>
    </w:p>
    <w:p w:rsidR="000C3DC3" w:rsidRPr="00664CF5" w:rsidRDefault="000C3DC3" w:rsidP="000C3DC3">
      <w:pPr>
        <w:ind w:firstLine="720"/>
        <w:jc w:val="both"/>
        <w:rPr>
          <w:sz w:val="26"/>
          <w:szCs w:val="26"/>
        </w:rPr>
      </w:pPr>
      <w:r w:rsidRPr="00664CF5">
        <w:rPr>
          <w:sz w:val="26"/>
          <w:szCs w:val="26"/>
        </w:rPr>
        <w:t>Осуществлялось сотрудничество с Контрольно-счетными органами Ханты-Мансийского автономного округа – Югры. Председатель Контрольно-счетной палаты города Когалыма принял участие в двух заседаниях Совета органов внешнего финансового контроля Ханты-Мансийского автономного округа – Югры, которые состоялись 25.01.2023 (в режиме видеоконференцсвязи) и 15.11.2023 (в очном формате в городе Ханты-Мансийске). На заседаниях рассмотрены вопросы реализации полномочий и актуальные проблемы правоприменительной практики, осуществлялся обмен опытом.</w:t>
      </w:r>
    </w:p>
    <w:p w:rsidR="000C3DC3" w:rsidRPr="00664CF5" w:rsidRDefault="000C3DC3" w:rsidP="000C3DC3">
      <w:pPr>
        <w:ind w:firstLine="720"/>
        <w:jc w:val="both"/>
        <w:rPr>
          <w:sz w:val="26"/>
          <w:szCs w:val="26"/>
        </w:rPr>
      </w:pPr>
      <w:r w:rsidRPr="00664CF5">
        <w:rPr>
          <w:sz w:val="26"/>
          <w:szCs w:val="26"/>
        </w:rPr>
        <w:t xml:space="preserve">В рамках заключенных ранее соглашений продолжено сотрудничество с правоохранительными органами и прокуратурой города Когалыма. </w:t>
      </w:r>
    </w:p>
    <w:p w:rsidR="000C3DC3" w:rsidRPr="00664CF5" w:rsidRDefault="000C3DC3" w:rsidP="000C3DC3">
      <w:pPr>
        <w:ind w:firstLine="720"/>
        <w:jc w:val="both"/>
        <w:rPr>
          <w:sz w:val="26"/>
          <w:szCs w:val="26"/>
        </w:rPr>
      </w:pPr>
      <w:r w:rsidRPr="00664CF5">
        <w:rPr>
          <w:sz w:val="26"/>
          <w:szCs w:val="26"/>
        </w:rPr>
        <w:t>В Контрольно-счетной палате разработан и выполняется план мероприятий, направленных на принятие эффективных мер по предупреждению коррупции и конфликта интересов на муниципальной службе, а также соблюдение муниципальными служащими общих принципов служебного поведения, норм профессиональной этики, обязательств, ограничений и запретов.</w:t>
      </w:r>
    </w:p>
    <w:p w:rsidR="000C3DC3" w:rsidRPr="00664CF5" w:rsidRDefault="000C3DC3" w:rsidP="000C3DC3">
      <w:pPr>
        <w:ind w:firstLine="720"/>
        <w:jc w:val="both"/>
        <w:rPr>
          <w:sz w:val="26"/>
          <w:szCs w:val="26"/>
        </w:rPr>
      </w:pPr>
      <w:r w:rsidRPr="00664CF5">
        <w:rPr>
          <w:sz w:val="26"/>
          <w:szCs w:val="26"/>
        </w:rPr>
        <w:lastRenderedPageBreak/>
        <w:t>В рамках реализации данного плана в 2023 году проведены мероприятия в соответствии с Федеральным законом от 25.12.2008 №273-ФЗ «О противодействии коррупции», в том числе:</w:t>
      </w:r>
    </w:p>
    <w:p w:rsidR="000C3DC3" w:rsidRPr="00664CF5" w:rsidRDefault="000C3DC3" w:rsidP="000C3DC3">
      <w:pPr>
        <w:ind w:firstLine="720"/>
        <w:jc w:val="both"/>
        <w:rPr>
          <w:sz w:val="26"/>
          <w:szCs w:val="26"/>
        </w:rPr>
      </w:pPr>
      <w:r w:rsidRPr="00664CF5">
        <w:rPr>
          <w:sz w:val="26"/>
          <w:szCs w:val="26"/>
        </w:rPr>
        <w:t>-  проверка сведений, указанных в справках о доходах, расходах, имуществе и обязательствах имущественного характера муниципальных служащих и членов их семей, на предмет отсутствия нарушений законодательства о муниципальной службе и противодействия        коррупции;</w:t>
      </w:r>
    </w:p>
    <w:p w:rsidR="000C3DC3" w:rsidRPr="00664CF5" w:rsidRDefault="000C3DC3" w:rsidP="000C3DC3">
      <w:pPr>
        <w:ind w:firstLine="720"/>
        <w:jc w:val="both"/>
        <w:rPr>
          <w:sz w:val="26"/>
          <w:szCs w:val="26"/>
        </w:rPr>
      </w:pPr>
      <w:r w:rsidRPr="00664CF5">
        <w:rPr>
          <w:sz w:val="26"/>
          <w:szCs w:val="26"/>
        </w:rPr>
        <w:t>-  в течение всего года проводилась работа по разъяснению муниципальным служащим требований антикоррупционного законодательства по вопросам необходимости уведомления работодателя при возникновении конфликта интересов, о фактах обращения к муниципальным служащим в целях склонения к совершению коррупционных правонарушений;</w:t>
      </w:r>
    </w:p>
    <w:p w:rsidR="000C3DC3" w:rsidRPr="00664CF5" w:rsidRDefault="000C3DC3" w:rsidP="000C3DC3">
      <w:pPr>
        <w:ind w:firstLine="720"/>
        <w:jc w:val="both"/>
        <w:rPr>
          <w:sz w:val="26"/>
          <w:szCs w:val="26"/>
        </w:rPr>
      </w:pPr>
      <w:r w:rsidRPr="00664CF5">
        <w:rPr>
          <w:sz w:val="26"/>
          <w:szCs w:val="26"/>
        </w:rPr>
        <w:t>- проведен анализ кадрового состава Контрольно-счетной палаты города Когалыма, на предмет наличия родственных связей, которые влекут или могут повлечь наличие конфликта интересов;</w:t>
      </w:r>
    </w:p>
    <w:p w:rsidR="000C3DC3" w:rsidRPr="00664CF5" w:rsidRDefault="000C3DC3" w:rsidP="000C3DC3">
      <w:pPr>
        <w:ind w:firstLine="720"/>
        <w:jc w:val="both"/>
        <w:rPr>
          <w:sz w:val="26"/>
          <w:szCs w:val="26"/>
        </w:rPr>
      </w:pPr>
      <w:r w:rsidRPr="00664CF5">
        <w:rPr>
          <w:sz w:val="26"/>
          <w:szCs w:val="26"/>
        </w:rPr>
        <w:t>- проведены тематические мероприятия, направленные на формирование у муниципальных служащих Контрольно-счетной палаты города Когалыма отрицательного отношения к коррупции, в том числе методические совещания по вопросу информирования служащих о соблюдении требований об уведомлении представителя нанимателя (работодателя) о намерении выполнять иную оплачиваемую работу, а также по рассмотрению вопроса о целесообразности (нецелесообразности) распространения норм статьи 12 Федерального закона от 25.12.2008 №273-ФЗ «О противодействии коррупции»;</w:t>
      </w:r>
    </w:p>
    <w:p w:rsidR="000C3DC3" w:rsidRPr="00664CF5" w:rsidRDefault="000C3DC3" w:rsidP="000C3DC3">
      <w:pPr>
        <w:ind w:firstLine="720"/>
        <w:jc w:val="both"/>
        <w:rPr>
          <w:sz w:val="26"/>
          <w:szCs w:val="26"/>
        </w:rPr>
      </w:pPr>
      <w:r w:rsidRPr="00664CF5">
        <w:rPr>
          <w:sz w:val="26"/>
          <w:szCs w:val="26"/>
        </w:rPr>
        <w:t>- осуществлялся мониторинг законодательства о противодействии коррупции и правоприменительной практики судов общей юрисдикции и арбитражных судов по заявлениям о признании незаконными нормативных правовых актов, решений и действий (бездействия) муниципальных органов и их должностных лиц.</w:t>
      </w:r>
    </w:p>
    <w:p w:rsidR="000C3DC3" w:rsidRPr="00664CF5" w:rsidRDefault="000C3DC3" w:rsidP="000C3DC3">
      <w:pPr>
        <w:ind w:firstLine="720"/>
        <w:jc w:val="both"/>
        <w:rPr>
          <w:sz w:val="26"/>
          <w:szCs w:val="26"/>
        </w:rPr>
      </w:pPr>
      <w:r w:rsidRPr="00664CF5">
        <w:rPr>
          <w:sz w:val="26"/>
          <w:szCs w:val="26"/>
        </w:rPr>
        <w:t>Жалоб,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Контрольно-счетной палаты не поступало.</w:t>
      </w:r>
    </w:p>
    <w:p w:rsidR="000C3DC3" w:rsidRPr="00664CF5" w:rsidRDefault="000C3DC3" w:rsidP="000C3DC3">
      <w:pPr>
        <w:ind w:firstLine="720"/>
        <w:jc w:val="both"/>
        <w:rPr>
          <w:sz w:val="26"/>
          <w:szCs w:val="26"/>
        </w:rPr>
      </w:pPr>
      <w:r w:rsidRPr="00664CF5">
        <w:rPr>
          <w:sz w:val="26"/>
          <w:szCs w:val="26"/>
        </w:rPr>
        <w:t>На официальном сайте размещен порядок рассмотрения обращения граждан, время приема граждан, а также сведения о</w:t>
      </w:r>
      <w:r>
        <w:rPr>
          <w:sz w:val="26"/>
          <w:szCs w:val="26"/>
        </w:rPr>
        <w:t xml:space="preserve"> </w:t>
      </w:r>
      <w:r w:rsidRPr="00664CF5">
        <w:rPr>
          <w:sz w:val="26"/>
          <w:szCs w:val="26"/>
        </w:rPr>
        <w:t>должностном лице, ответственном за прием обращений. В 2023 году,</w:t>
      </w:r>
      <w:r>
        <w:rPr>
          <w:sz w:val="26"/>
          <w:szCs w:val="26"/>
        </w:rPr>
        <w:t xml:space="preserve"> </w:t>
      </w:r>
      <w:r w:rsidRPr="00664CF5">
        <w:rPr>
          <w:sz w:val="26"/>
          <w:szCs w:val="26"/>
        </w:rPr>
        <w:t>в Контрольно-счетную палату поступило 1 коллективное обращение граждан. По результатам рассмотрения обращения подготовлен ответ по существу поставленных вопросов.</w:t>
      </w:r>
    </w:p>
    <w:p w:rsidR="000C3DC3" w:rsidRPr="00664CF5" w:rsidRDefault="000C3DC3" w:rsidP="000C3DC3">
      <w:pPr>
        <w:ind w:firstLine="720"/>
        <w:jc w:val="both"/>
        <w:rPr>
          <w:sz w:val="26"/>
          <w:szCs w:val="26"/>
        </w:rPr>
      </w:pPr>
      <w:r w:rsidRPr="00664CF5">
        <w:rPr>
          <w:sz w:val="26"/>
          <w:szCs w:val="26"/>
        </w:rPr>
        <w:t>Информация о жалобах на действия либо бездействия Контрольно-счетной палаты города Когалыма при реализации закрепленного в Конституции Российской Федерации права граждан на обращение в государственные органы не поступала.</w:t>
      </w:r>
    </w:p>
    <w:p w:rsidR="000C3DC3" w:rsidRPr="002F2828" w:rsidRDefault="000C3DC3" w:rsidP="000C3DC3">
      <w:pPr>
        <w:ind w:firstLine="720"/>
        <w:jc w:val="both"/>
        <w:rPr>
          <w:sz w:val="26"/>
          <w:szCs w:val="26"/>
        </w:rPr>
      </w:pPr>
    </w:p>
    <w:p w:rsidR="000C3DC3" w:rsidRPr="00664CF5" w:rsidRDefault="000C3DC3" w:rsidP="000C3DC3">
      <w:pPr>
        <w:ind w:firstLine="720"/>
        <w:jc w:val="center"/>
        <w:rPr>
          <w:sz w:val="26"/>
          <w:szCs w:val="26"/>
        </w:rPr>
      </w:pPr>
      <w:r w:rsidRPr="00664CF5">
        <w:rPr>
          <w:sz w:val="26"/>
          <w:szCs w:val="26"/>
        </w:rPr>
        <w:t xml:space="preserve">5. Кадровое, финансовое и организационно-техническое </w:t>
      </w:r>
    </w:p>
    <w:p w:rsidR="000C3DC3" w:rsidRPr="00664CF5" w:rsidRDefault="000C3DC3" w:rsidP="000C3DC3">
      <w:pPr>
        <w:ind w:firstLine="720"/>
        <w:jc w:val="center"/>
        <w:rPr>
          <w:sz w:val="26"/>
          <w:szCs w:val="26"/>
        </w:rPr>
      </w:pPr>
      <w:r w:rsidRPr="00664CF5">
        <w:rPr>
          <w:sz w:val="26"/>
          <w:szCs w:val="26"/>
        </w:rPr>
        <w:t>обеспечение деятельности Контрольно-счетной палаты</w:t>
      </w:r>
    </w:p>
    <w:p w:rsidR="000C3DC3" w:rsidRPr="002F2828" w:rsidRDefault="000C3DC3" w:rsidP="000C3DC3">
      <w:pPr>
        <w:ind w:firstLine="720"/>
        <w:jc w:val="both"/>
        <w:rPr>
          <w:sz w:val="26"/>
          <w:szCs w:val="26"/>
        </w:rPr>
      </w:pPr>
    </w:p>
    <w:p w:rsidR="000C3DC3" w:rsidRPr="00664CF5" w:rsidRDefault="000C3DC3" w:rsidP="000C3DC3">
      <w:pPr>
        <w:ind w:firstLine="720"/>
        <w:jc w:val="both"/>
        <w:rPr>
          <w:sz w:val="26"/>
          <w:szCs w:val="26"/>
        </w:rPr>
      </w:pPr>
      <w:r w:rsidRPr="00664CF5">
        <w:rPr>
          <w:sz w:val="26"/>
          <w:szCs w:val="26"/>
        </w:rPr>
        <w:t xml:space="preserve">Результаты деятельности Контрольно-счетной палаты зависят от проводимой работы по формированию и повышению квалификации кадрового состава. </w:t>
      </w:r>
    </w:p>
    <w:p w:rsidR="000C3DC3" w:rsidRPr="00664CF5" w:rsidRDefault="000C3DC3" w:rsidP="000C3DC3">
      <w:pPr>
        <w:ind w:firstLine="720"/>
        <w:jc w:val="both"/>
        <w:rPr>
          <w:sz w:val="26"/>
          <w:szCs w:val="26"/>
        </w:rPr>
      </w:pPr>
      <w:r w:rsidRPr="00664CF5">
        <w:rPr>
          <w:sz w:val="26"/>
          <w:szCs w:val="26"/>
        </w:rPr>
        <w:lastRenderedPageBreak/>
        <w:t xml:space="preserve">На 31.12.2023 из 5 штатных должностей замещено 5. Все штатные должности замещены специалистами с высшим профессиональным образованием, соответствующим специфике и направлениям работы. </w:t>
      </w:r>
    </w:p>
    <w:p w:rsidR="000C3DC3" w:rsidRPr="00664CF5" w:rsidRDefault="000C3DC3" w:rsidP="000C3DC3">
      <w:pPr>
        <w:ind w:firstLine="720"/>
        <w:jc w:val="both"/>
        <w:rPr>
          <w:sz w:val="26"/>
          <w:szCs w:val="26"/>
        </w:rPr>
      </w:pPr>
      <w:r w:rsidRPr="00664CF5">
        <w:rPr>
          <w:sz w:val="26"/>
          <w:szCs w:val="26"/>
        </w:rPr>
        <w:t>В 2023 году обучение прошли 2 сотрудника Контрольно-счетной палаты по программам повышения квалификации «Сметное дело и ценообразование в строительстве» и «Цифровая трансформация в государственном и муниципальном управлении».</w:t>
      </w:r>
    </w:p>
    <w:p w:rsidR="000C3DC3" w:rsidRPr="00664CF5" w:rsidRDefault="000C3DC3" w:rsidP="000C3DC3">
      <w:pPr>
        <w:ind w:firstLine="720"/>
        <w:jc w:val="both"/>
        <w:rPr>
          <w:sz w:val="26"/>
          <w:szCs w:val="26"/>
        </w:rPr>
      </w:pPr>
      <w:r w:rsidRPr="00664CF5">
        <w:rPr>
          <w:sz w:val="26"/>
          <w:szCs w:val="26"/>
        </w:rPr>
        <w:t>Один сотрудник принял участие во всероссийской онлайн конференции «Противодействие коррупции в Российской Федерации» (с выдачей удостоверяющего сертификата), проведенной Первым федеральным университетом антикоррупционного просвещения.</w:t>
      </w:r>
    </w:p>
    <w:p w:rsidR="000C3DC3" w:rsidRPr="00664CF5" w:rsidRDefault="000C3DC3" w:rsidP="000C3DC3">
      <w:pPr>
        <w:ind w:firstLine="720"/>
        <w:jc w:val="both"/>
        <w:rPr>
          <w:sz w:val="26"/>
          <w:szCs w:val="26"/>
        </w:rPr>
      </w:pPr>
      <w:r w:rsidRPr="00664CF5">
        <w:rPr>
          <w:sz w:val="26"/>
          <w:szCs w:val="26"/>
        </w:rPr>
        <w:t>Кроме этого</w:t>
      </w:r>
      <w:r>
        <w:rPr>
          <w:sz w:val="26"/>
          <w:szCs w:val="26"/>
        </w:rPr>
        <w:t>,</w:t>
      </w:r>
      <w:r w:rsidRPr="00664CF5">
        <w:rPr>
          <w:sz w:val="26"/>
          <w:szCs w:val="26"/>
        </w:rPr>
        <w:t xml:space="preserve"> все сотрудники приняли участие в 15-ти обучающих мероприятиях, организованных Союзом муниципальных контрольно-счетных органов России, а также в инновационной сессии «Современный отчет: реальность и возможности», проведенной Комиссией Совета контрольно-счетных органов при Счетной палате Р</w:t>
      </w:r>
      <w:r>
        <w:rPr>
          <w:sz w:val="26"/>
          <w:szCs w:val="26"/>
        </w:rPr>
        <w:t>оссийской Федерации</w:t>
      </w:r>
      <w:r w:rsidRPr="00664CF5">
        <w:rPr>
          <w:sz w:val="26"/>
          <w:szCs w:val="26"/>
        </w:rPr>
        <w:t xml:space="preserve"> по вопросам открытости деятельности контрольно-счетных органов и профессиональной этики. Полученные знания активно используются при проведении контрольных и экспертных мероприятий.</w:t>
      </w:r>
    </w:p>
    <w:p w:rsidR="000C3DC3" w:rsidRPr="00664CF5" w:rsidRDefault="000C3DC3" w:rsidP="000C3DC3">
      <w:pPr>
        <w:ind w:firstLine="720"/>
        <w:jc w:val="both"/>
        <w:rPr>
          <w:sz w:val="26"/>
          <w:szCs w:val="26"/>
        </w:rPr>
      </w:pPr>
      <w:r w:rsidRPr="00664CF5">
        <w:rPr>
          <w:sz w:val="26"/>
          <w:szCs w:val="26"/>
        </w:rPr>
        <w:t>В установленном порядке принимались правовые акты Контрольно-счетной палаты, регламентирующие вопросы, связанные с муниципальной гражданской службой, трудовыми отношениями и финансовым обеспечением деятельности Контрольно-счетной палаты.</w:t>
      </w:r>
    </w:p>
    <w:p w:rsidR="000C3DC3" w:rsidRPr="00664CF5" w:rsidRDefault="000C3DC3" w:rsidP="000C3DC3">
      <w:pPr>
        <w:ind w:firstLine="720"/>
        <w:jc w:val="both"/>
        <w:rPr>
          <w:sz w:val="26"/>
          <w:szCs w:val="26"/>
        </w:rPr>
      </w:pPr>
      <w:r w:rsidRPr="00664CF5">
        <w:rPr>
          <w:sz w:val="26"/>
          <w:szCs w:val="26"/>
        </w:rPr>
        <w:t>В соответствии с решением Думы города Когалыма от 14.12.2022 №199-ГД «О бюджете города Когалыма на 2023 год и на плановый период 2024 и 2025 годов» Контрольно-счетной палате утверждены бюджетные ассигнования в сумме 15 446,3 тыс. рублей. Исполнение за отчётный период составило 15 357,6 тыс. рублей или 99,4 % от утверждённых бюджетных ассигнований.</w:t>
      </w:r>
    </w:p>
    <w:p w:rsidR="000C3DC3" w:rsidRPr="00664CF5" w:rsidRDefault="000C3DC3" w:rsidP="000C3DC3">
      <w:pPr>
        <w:ind w:firstLine="720"/>
        <w:jc w:val="both"/>
        <w:rPr>
          <w:sz w:val="26"/>
          <w:szCs w:val="26"/>
        </w:rPr>
      </w:pPr>
      <w:r w:rsidRPr="00664CF5">
        <w:rPr>
          <w:sz w:val="26"/>
          <w:szCs w:val="26"/>
        </w:rPr>
        <w:t xml:space="preserve">Контрольно-счетной палата применяет в работе следующие автоматизированные информационные системы и программные комплексы: </w:t>
      </w:r>
    </w:p>
    <w:p w:rsidR="000C3DC3" w:rsidRPr="00664CF5" w:rsidRDefault="000C3DC3" w:rsidP="000C3DC3">
      <w:pPr>
        <w:ind w:firstLine="720"/>
        <w:jc w:val="both"/>
        <w:rPr>
          <w:sz w:val="26"/>
          <w:szCs w:val="26"/>
        </w:rPr>
      </w:pPr>
      <w:r w:rsidRPr="00664CF5">
        <w:rPr>
          <w:sz w:val="26"/>
          <w:szCs w:val="26"/>
        </w:rPr>
        <w:t>- автоматизированная информационная система финансового органа АС «Бюджет» (используется сотрудниками для оперативного получения информации при проведении контрольных и экспертно-аналитических мероприятий);</w:t>
      </w:r>
    </w:p>
    <w:p w:rsidR="000C3DC3" w:rsidRPr="00664CF5" w:rsidRDefault="000C3DC3" w:rsidP="000C3DC3">
      <w:pPr>
        <w:ind w:firstLine="720"/>
        <w:jc w:val="both"/>
        <w:rPr>
          <w:sz w:val="26"/>
          <w:szCs w:val="26"/>
        </w:rPr>
      </w:pPr>
      <w:r w:rsidRPr="00664CF5">
        <w:rPr>
          <w:sz w:val="26"/>
          <w:szCs w:val="26"/>
        </w:rPr>
        <w:t>- программный комплекс «ПК Гранд-Смета» (используется для составления и проверки расчётов смет строительных работ);</w:t>
      </w:r>
    </w:p>
    <w:p w:rsidR="000C3DC3" w:rsidRPr="00664CF5" w:rsidRDefault="000C3DC3" w:rsidP="000C3DC3">
      <w:pPr>
        <w:ind w:firstLine="720"/>
        <w:jc w:val="both"/>
        <w:rPr>
          <w:sz w:val="26"/>
          <w:szCs w:val="26"/>
        </w:rPr>
      </w:pPr>
      <w:r w:rsidRPr="00664CF5">
        <w:rPr>
          <w:sz w:val="26"/>
          <w:szCs w:val="26"/>
        </w:rPr>
        <w:t xml:space="preserve">- автоматизированная информационная система «Находка-КСО» (используется для обеспечения достоверности данных, получаемых в процессе проведения мероприятий, оперативности контроля с целью своевременного устранения выявляемых нарушений за счет автоматизации коллективной работы, унифицированного учета информации, возникающей в ходе планирования, подготовки, проведения, анализа и обобщения результатов контрольных и экспертно-аналитических мероприятий). </w:t>
      </w:r>
    </w:p>
    <w:p w:rsidR="000C3DC3" w:rsidRPr="002F2828" w:rsidRDefault="000C3DC3" w:rsidP="000C3DC3">
      <w:pPr>
        <w:ind w:firstLine="720"/>
        <w:jc w:val="both"/>
        <w:rPr>
          <w:sz w:val="26"/>
          <w:szCs w:val="26"/>
        </w:rPr>
      </w:pPr>
    </w:p>
    <w:p w:rsidR="000C3DC3" w:rsidRPr="00664CF5" w:rsidRDefault="000C3DC3" w:rsidP="000C3DC3">
      <w:pPr>
        <w:ind w:firstLine="720"/>
        <w:jc w:val="center"/>
        <w:rPr>
          <w:sz w:val="26"/>
          <w:szCs w:val="26"/>
        </w:rPr>
      </w:pPr>
      <w:r w:rsidRPr="00664CF5">
        <w:rPr>
          <w:sz w:val="26"/>
          <w:szCs w:val="26"/>
        </w:rPr>
        <w:t>6. Заключение</w:t>
      </w:r>
    </w:p>
    <w:p w:rsidR="000C3DC3" w:rsidRPr="002F2828" w:rsidRDefault="000C3DC3" w:rsidP="000C3DC3">
      <w:pPr>
        <w:ind w:firstLine="720"/>
        <w:jc w:val="center"/>
        <w:rPr>
          <w:sz w:val="26"/>
          <w:szCs w:val="26"/>
        </w:rPr>
      </w:pPr>
    </w:p>
    <w:p w:rsidR="000C3DC3" w:rsidRPr="00664CF5" w:rsidRDefault="000C3DC3" w:rsidP="000C3DC3">
      <w:pPr>
        <w:ind w:firstLine="720"/>
        <w:jc w:val="both"/>
        <w:rPr>
          <w:sz w:val="26"/>
          <w:szCs w:val="26"/>
        </w:rPr>
      </w:pPr>
      <w:r w:rsidRPr="00664CF5">
        <w:rPr>
          <w:sz w:val="26"/>
          <w:szCs w:val="26"/>
        </w:rPr>
        <w:t xml:space="preserve">В 2023 году Контрольно-счетная палата осуществляла контрольную, экспертно-аналитическую, информационную и иную деятельность, обеспечивая осуществление внешнего муниципального финансового контроля </w:t>
      </w:r>
      <w:r w:rsidRPr="00664CF5">
        <w:rPr>
          <w:sz w:val="26"/>
          <w:szCs w:val="26"/>
        </w:rPr>
        <w:lastRenderedPageBreak/>
        <w:t xml:space="preserve">в соответствии с Бюджетным кодексом Российской Федерации, Положением о Контрольно-счетной палате и иными нормативными правовыми актами, реализуя системный контроль за исполнением бюджета города Когалыма. Контролем охвачены все этапы бюджетного процесса: от формирования бюджета до утверждения годового отчёта о его исполнении. </w:t>
      </w:r>
    </w:p>
    <w:p w:rsidR="000C3DC3" w:rsidRPr="00664CF5" w:rsidRDefault="000C3DC3" w:rsidP="000C3DC3">
      <w:pPr>
        <w:ind w:firstLine="720"/>
        <w:jc w:val="both"/>
        <w:rPr>
          <w:sz w:val="26"/>
          <w:szCs w:val="26"/>
        </w:rPr>
      </w:pPr>
      <w:r w:rsidRPr="00664CF5">
        <w:rPr>
          <w:sz w:val="26"/>
          <w:szCs w:val="26"/>
        </w:rPr>
        <w:t>На основе результатов контрольных и экспертно-аналитических мероприятий, проведенных в предыдущие годы, утверждён план работы Контрольно-счетной палаты на 2024 год, согласно которому планируется проведение анализа исполнения бюджета города и реализации муниципальных программ, обоснованности вносимых в них изменений, реализации мероприятий в рамках национальных проектов и иных мероприятий в соответствии с полномочиями Контрольно-счетной палаты. Деятельность Контрольно-счетной палаты будет направлена на обеспечение контроля за соблюдением бюджетного законодательства, достоверностью, полнотой бюджетной отчётности, экономностью, эффективностью и результативностью расходования бюджетных средств.</w:t>
      </w: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Default="000C3DC3" w:rsidP="000C3DC3">
      <w:pPr>
        <w:ind w:firstLine="720"/>
        <w:jc w:val="right"/>
      </w:pPr>
    </w:p>
    <w:p w:rsidR="000C3DC3" w:rsidRDefault="000C3DC3" w:rsidP="000C3DC3">
      <w:pPr>
        <w:ind w:firstLine="720"/>
        <w:jc w:val="right"/>
      </w:pPr>
    </w:p>
    <w:p w:rsidR="000C3DC3" w:rsidRDefault="000C3DC3" w:rsidP="000C3DC3">
      <w:pPr>
        <w:ind w:firstLine="720"/>
        <w:jc w:val="right"/>
      </w:pPr>
    </w:p>
    <w:p w:rsidR="000C3DC3"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0C3DC3" w:rsidRPr="00664CF5" w:rsidRDefault="000C3DC3"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2F2828" w:rsidRDefault="002F2828" w:rsidP="000C3DC3">
      <w:pPr>
        <w:ind w:firstLine="720"/>
        <w:jc w:val="right"/>
      </w:pPr>
    </w:p>
    <w:p w:rsidR="000C3DC3" w:rsidRPr="00664CF5" w:rsidRDefault="000C3DC3" w:rsidP="000C3DC3">
      <w:pPr>
        <w:ind w:firstLine="720"/>
        <w:jc w:val="right"/>
      </w:pPr>
      <w:bookmarkStart w:id="0" w:name="_GoBack"/>
      <w:bookmarkEnd w:id="0"/>
      <w:r w:rsidRPr="00664CF5">
        <w:lastRenderedPageBreak/>
        <w:t xml:space="preserve">Приложение </w:t>
      </w:r>
    </w:p>
    <w:p w:rsidR="000C3DC3" w:rsidRPr="00664CF5" w:rsidRDefault="000C3DC3" w:rsidP="000C3DC3">
      <w:pPr>
        <w:ind w:firstLine="720"/>
        <w:jc w:val="right"/>
      </w:pPr>
      <w:r w:rsidRPr="00664CF5">
        <w:t xml:space="preserve">к отчёту о деятельности </w:t>
      </w:r>
    </w:p>
    <w:p w:rsidR="000C3DC3" w:rsidRPr="00664CF5" w:rsidRDefault="000C3DC3" w:rsidP="000C3DC3">
      <w:pPr>
        <w:ind w:firstLine="720"/>
        <w:jc w:val="right"/>
      </w:pPr>
      <w:r w:rsidRPr="00664CF5">
        <w:t xml:space="preserve">Контрольно-счетной палаты </w:t>
      </w:r>
    </w:p>
    <w:p w:rsidR="000C3DC3" w:rsidRPr="00664CF5" w:rsidRDefault="000C3DC3" w:rsidP="000C3DC3">
      <w:pPr>
        <w:ind w:firstLine="720"/>
        <w:jc w:val="right"/>
        <w:rPr>
          <w:sz w:val="26"/>
          <w:szCs w:val="26"/>
        </w:rPr>
      </w:pPr>
      <w:r w:rsidRPr="00664CF5">
        <w:t>города Когалыма за 2023 год</w:t>
      </w:r>
    </w:p>
    <w:p w:rsidR="000C3DC3" w:rsidRPr="00664CF5" w:rsidRDefault="000C3DC3" w:rsidP="000C3DC3">
      <w:pPr>
        <w:ind w:firstLine="720"/>
        <w:jc w:val="right"/>
        <w:rPr>
          <w:sz w:val="26"/>
          <w:szCs w:val="26"/>
        </w:rPr>
      </w:pPr>
    </w:p>
    <w:p w:rsidR="000C3DC3" w:rsidRPr="00664CF5" w:rsidRDefault="000C3DC3" w:rsidP="000C3DC3">
      <w:pPr>
        <w:ind w:firstLine="720"/>
        <w:jc w:val="center"/>
        <w:rPr>
          <w:b/>
          <w:sz w:val="26"/>
          <w:szCs w:val="26"/>
        </w:rPr>
      </w:pPr>
      <w:r w:rsidRPr="00664CF5">
        <w:rPr>
          <w:b/>
          <w:sz w:val="26"/>
          <w:szCs w:val="26"/>
        </w:rPr>
        <w:t xml:space="preserve">Основные показатели деятельности </w:t>
      </w:r>
    </w:p>
    <w:p w:rsidR="000C3DC3" w:rsidRPr="00664CF5" w:rsidRDefault="000C3DC3" w:rsidP="000C3DC3">
      <w:pPr>
        <w:ind w:firstLine="720"/>
        <w:jc w:val="center"/>
        <w:rPr>
          <w:b/>
          <w:sz w:val="26"/>
          <w:szCs w:val="26"/>
        </w:rPr>
      </w:pPr>
      <w:r w:rsidRPr="00664CF5">
        <w:rPr>
          <w:b/>
          <w:sz w:val="26"/>
          <w:szCs w:val="26"/>
        </w:rPr>
        <w:t xml:space="preserve">Контрольно-счетной палаты города Когалыма </w:t>
      </w:r>
    </w:p>
    <w:p w:rsidR="000C3DC3" w:rsidRPr="00664CF5" w:rsidRDefault="000C3DC3" w:rsidP="000C3DC3">
      <w:pPr>
        <w:ind w:firstLine="720"/>
        <w:jc w:val="center"/>
        <w:rPr>
          <w:b/>
          <w:sz w:val="26"/>
          <w:szCs w:val="26"/>
        </w:rPr>
      </w:pPr>
      <w:r w:rsidRPr="00664CF5">
        <w:rPr>
          <w:b/>
          <w:sz w:val="26"/>
          <w:szCs w:val="26"/>
        </w:rPr>
        <w:t>за 2023 год</w:t>
      </w:r>
    </w:p>
    <w:p w:rsidR="000C3DC3" w:rsidRPr="00664CF5" w:rsidRDefault="000C3DC3" w:rsidP="000C3DC3">
      <w:pPr>
        <w:rPr>
          <w:sz w:val="2"/>
          <w:szCs w:val="2"/>
        </w:rPr>
      </w:pPr>
    </w:p>
    <w:p w:rsidR="000C3DC3" w:rsidRPr="00664CF5" w:rsidRDefault="000C3DC3" w:rsidP="000C3DC3">
      <w:pPr>
        <w:rPr>
          <w:sz w:val="10"/>
          <w:szCs w:val="10"/>
        </w:rPr>
      </w:pPr>
    </w:p>
    <w:tbl>
      <w:tblPr>
        <w:tblpPr w:leftFromText="180" w:rightFromText="180" w:vertAnchor="text" w:horzAnchor="margin" w:tblpX="82" w:tblpY="2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6280"/>
        <w:gridCol w:w="1984"/>
      </w:tblGrid>
      <w:tr w:rsidR="000C3DC3" w:rsidRPr="00664CF5" w:rsidTr="00A92D1E">
        <w:trPr>
          <w:trHeight w:val="426"/>
        </w:trPr>
        <w:tc>
          <w:tcPr>
            <w:tcW w:w="803" w:type="dxa"/>
            <w:shd w:val="clear" w:color="auto" w:fill="auto"/>
            <w:vAlign w:val="center"/>
          </w:tcPr>
          <w:p w:rsidR="000C3DC3" w:rsidRPr="00664CF5" w:rsidRDefault="000C3DC3" w:rsidP="00A92D1E">
            <w:pPr>
              <w:ind w:left="66"/>
              <w:jc w:val="center"/>
              <w:rPr>
                <w:rFonts w:eastAsia="Calibri"/>
                <w:lang w:eastAsia="en-US"/>
              </w:rPr>
            </w:pPr>
            <w:r w:rsidRPr="00664CF5">
              <w:rPr>
                <w:rFonts w:eastAsia="Calibri"/>
                <w:lang w:eastAsia="en-US"/>
              </w:rPr>
              <w:t>№ п/п</w:t>
            </w:r>
          </w:p>
        </w:tc>
        <w:tc>
          <w:tcPr>
            <w:tcW w:w="6280" w:type="dxa"/>
            <w:shd w:val="clear" w:color="auto" w:fill="auto"/>
            <w:vAlign w:val="center"/>
          </w:tcPr>
          <w:p w:rsidR="000C3DC3" w:rsidRPr="00664CF5" w:rsidRDefault="000C3DC3" w:rsidP="00A92D1E">
            <w:pPr>
              <w:ind w:left="317"/>
              <w:contextualSpacing/>
              <w:jc w:val="center"/>
              <w:rPr>
                <w:rFonts w:eastAsia="Calibri"/>
                <w:lang w:eastAsia="en-US"/>
              </w:rPr>
            </w:pPr>
            <w:r w:rsidRPr="00664CF5">
              <w:rPr>
                <w:rFonts w:eastAsia="Calibri"/>
                <w:lang w:eastAsia="en-US"/>
              </w:rPr>
              <w:t>Наименование показателя</w:t>
            </w:r>
          </w:p>
        </w:tc>
        <w:tc>
          <w:tcPr>
            <w:tcW w:w="1984" w:type="dxa"/>
            <w:shd w:val="clear" w:color="auto" w:fill="auto"/>
            <w:vAlign w:val="center"/>
          </w:tcPr>
          <w:p w:rsidR="000C3DC3" w:rsidRPr="00664CF5" w:rsidRDefault="000C3DC3" w:rsidP="00A92D1E">
            <w:pPr>
              <w:jc w:val="center"/>
              <w:rPr>
                <w:rFonts w:eastAsia="Calibri"/>
                <w:lang w:eastAsia="en-US"/>
              </w:rPr>
            </w:pPr>
            <w:r w:rsidRPr="00664CF5">
              <w:rPr>
                <w:rFonts w:eastAsia="Calibri"/>
                <w:lang w:eastAsia="en-US"/>
              </w:rPr>
              <w:t>Значение показателя</w:t>
            </w:r>
          </w:p>
        </w:tc>
      </w:tr>
      <w:tr w:rsidR="000C3DC3" w:rsidRPr="00664CF5" w:rsidTr="00A92D1E">
        <w:trPr>
          <w:trHeight w:val="426"/>
        </w:trPr>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1</w:t>
            </w:r>
          </w:p>
        </w:tc>
        <w:tc>
          <w:tcPr>
            <w:tcW w:w="6280" w:type="dxa"/>
            <w:shd w:val="clear" w:color="auto" w:fill="auto"/>
          </w:tcPr>
          <w:p w:rsidR="000C3DC3" w:rsidRPr="00664CF5" w:rsidRDefault="000C3DC3" w:rsidP="00A92D1E">
            <w:pPr>
              <w:ind w:left="-37"/>
              <w:contextualSpacing/>
              <w:jc w:val="both"/>
              <w:rPr>
                <w:rFonts w:eastAsia="Calibri"/>
                <w:lang w:eastAsia="en-US"/>
              </w:rPr>
            </w:pPr>
            <w:r w:rsidRPr="00664CF5">
              <w:rPr>
                <w:rFonts w:eastAsia="Calibri"/>
                <w:lang w:eastAsia="en-US"/>
              </w:rPr>
              <w:t>Проведено контрольных и экспертно-аналитических мероприятий всего, из них:</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30</w:t>
            </w:r>
          </w:p>
        </w:tc>
      </w:tr>
      <w:tr w:rsidR="000C3DC3" w:rsidRPr="00664CF5" w:rsidTr="00A92D1E">
        <w:trPr>
          <w:trHeight w:val="296"/>
        </w:trPr>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1.1.</w:t>
            </w:r>
          </w:p>
        </w:tc>
        <w:tc>
          <w:tcPr>
            <w:tcW w:w="6280" w:type="dxa"/>
            <w:shd w:val="clear" w:color="auto" w:fill="auto"/>
          </w:tcPr>
          <w:p w:rsidR="000C3DC3" w:rsidRPr="00664CF5" w:rsidRDefault="000C3DC3" w:rsidP="00A92D1E">
            <w:pPr>
              <w:ind w:left="-37"/>
              <w:contextualSpacing/>
              <w:jc w:val="both"/>
              <w:rPr>
                <w:rFonts w:eastAsia="Calibri"/>
                <w:lang w:eastAsia="en-US"/>
              </w:rPr>
            </w:pPr>
            <w:r w:rsidRPr="00664CF5">
              <w:rPr>
                <w:rFonts w:eastAsia="Calibri"/>
                <w:lang w:eastAsia="en-US"/>
              </w:rPr>
              <w:t>контрольных мероприятий</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15</w:t>
            </w:r>
          </w:p>
        </w:tc>
      </w:tr>
      <w:tr w:rsidR="000C3DC3" w:rsidRPr="00664CF5" w:rsidTr="00A92D1E">
        <w:trPr>
          <w:trHeight w:val="426"/>
        </w:trPr>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1.2.</w:t>
            </w:r>
          </w:p>
        </w:tc>
        <w:tc>
          <w:tcPr>
            <w:tcW w:w="6280" w:type="dxa"/>
            <w:shd w:val="clear" w:color="auto" w:fill="auto"/>
          </w:tcPr>
          <w:p w:rsidR="000C3DC3" w:rsidRPr="00664CF5" w:rsidRDefault="000C3DC3" w:rsidP="00A92D1E">
            <w:pPr>
              <w:ind w:left="-37"/>
              <w:contextualSpacing/>
              <w:jc w:val="both"/>
              <w:rPr>
                <w:rFonts w:eastAsia="Calibri"/>
                <w:lang w:eastAsia="en-US"/>
              </w:rPr>
            </w:pPr>
            <w:r w:rsidRPr="00664CF5">
              <w:rPr>
                <w:rFonts w:eastAsia="Calibri"/>
                <w:lang w:eastAsia="en-US"/>
              </w:rPr>
              <w:t>экспертно-аналитических мероприятий (за исключением экспертиз проектов нормативных правовых актов)</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15</w:t>
            </w:r>
          </w:p>
        </w:tc>
      </w:tr>
      <w:tr w:rsidR="000C3DC3" w:rsidRPr="00664CF5" w:rsidTr="00A92D1E">
        <w:trPr>
          <w:trHeight w:val="426"/>
        </w:trPr>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2.</w:t>
            </w:r>
          </w:p>
        </w:tc>
        <w:tc>
          <w:tcPr>
            <w:tcW w:w="6280" w:type="dxa"/>
            <w:shd w:val="clear" w:color="auto" w:fill="auto"/>
          </w:tcPr>
          <w:p w:rsidR="000C3DC3" w:rsidRPr="00664CF5" w:rsidRDefault="000C3DC3" w:rsidP="00A92D1E">
            <w:pPr>
              <w:ind w:left="-37"/>
              <w:contextualSpacing/>
              <w:jc w:val="both"/>
              <w:rPr>
                <w:rFonts w:eastAsia="Calibri"/>
                <w:lang w:eastAsia="en-US"/>
              </w:rPr>
            </w:pPr>
            <w:r w:rsidRPr="00664CF5">
              <w:rPr>
                <w:rFonts w:eastAsia="Calibri"/>
                <w:lang w:eastAsia="en-US"/>
              </w:rPr>
              <w:t>Количество проведенных экспертиз проектов нормативных правовых актов</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135</w:t>
            </w:r>
          </w:p>
        </w:tc>
      </w:tr>
      <w:tr w:rsidR="000C3DC3" w:rsidRPr="00664CF5" w:rsidTr="00A92D1E">
        <w:trPr>
          <w:trHeight w:val="426"/>
        </w:trPr>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3.</w:t>
            </w:r>
          </w:p>
        </w:tc>
        <w:tc>
          <w:tcPr>
            <w:tcW w:w="6280" w:type="dxa"/>
            <w:shd w:val="clear" w:color="auto" w:fill="auto"/>
          </w:tcPr>
          <w:p w:rsidR="000C3DC3" w:rsidRPr="00664CF5" w:rsidRDefault="000C3DC3" w:rsidP="00A92D1E">
            <w:pPr>
              <w:contextualSpacing/>
              <w:jc w:val="both"/>
              <w:rPr>
                <w:rFonts w:eastAsia="Calibri"/>
                <w:lang w:eastAsia="en-US"/>
              </w:rPr>
            </w:pPr>
            <w:r w:rsidRPr="00664CF5">
              <w:rPr>
                <w:rFonts w:eastAsia="Calibri"/>
                <w:lang w:eastAsia="en-US"/>
              </w:rPr>
              <w:t>Количество объектов проведенных контрольных и экспертно-аналитических мероприятий, всего, из них:</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67</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3.1.</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объектов контрольных мероприятий</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38</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3.2.</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объектов экспертно-аналитических мероприятий</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29</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4.</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Объем средств, охваченных контрольными и экспертно-аналитическими мероприятиями всего (тыс. рублей), из них</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39 129 700,1</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4.1.</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в рамках контрольных мероприятий</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2 968 666,4</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4.2.</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в рамках экспертно-аналитических мероприятий</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36 161 033,7</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5.</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Всего выявлено нарушений в ходе осуществления     внешнего муниципального финансового контроля               (тыс. рублей/ количество), из них:</w:t>
            </w:r>
          </w:p>
        </w:tc>
        <w:tc>
          <w:tcPr>
            <w:tcW w:w="1984" w:type="dxa"/>
            <w:shd w:val="clear" w:color="auto" w:fill="auto"/>
            <w:vAlign w:val="center"/>
          </w:tcPr>
          <w:p w:rsidR="000C3DC3" w:rsidRPr="00664CF5" w:rsidRDefault="000C3DC3" w:rsidP="00A92D1E">
            <w:pPr>
              <w:jc w:val="center"/>
              <w:rPr>
                <w:rFonts w:eastAsia="Calibri"/>
                <w:sz w:val="26"/>
                <w:szCs w:val="26"/>
                <w:lang w:val="en-US" w:eastAsia="en-US"/>
              </w:rPr>
            </w:pPr>
            <w:r w:rsidRPr="00664CF5">
              <w:rPr>
                <w:rFonts w:eastAsia="Calibri"/>
                <w:sz w:val="26"/>
                <w:szCs w:val="26"/>
                <w:lang w:eastAsia="en-US"/>
              </w:rPr>
              <w:t>12 214,7 / 1 062</w:t>
            </w:r>
          </w:p>
        </w:tc>
      </w:tr>
      <w:tr w:rsidR="000C3DC3" w:rsidRPr="00664CF5" w:rsidTr="00A92D1E">
        <w:tc>
          <w:tcPr>
            <w:tcW w:w="803" w:type="dxa"/>
            <w:shd w:val="clear" w:color="auto" w:fill="auto"/>
          </w:tcPr>
          <w:p w:rsidR="000C3DC3" w:rsidRPr="00664CF5" w:rsidRDefault="000C3DC3" w:rsidP="00A92D1E">
            <w:pPr>
              <w:jc w:val="center"/>
              <w:rPr>
                <w:rFonts w:eastAsia="Calibri"/>
                <w:lang w:eastAsia="en-US"/>
              </w:rPr>
            </w:pPr>
            <w:r w:rsidRPr="00664CF5">
              <w:rPr>
                <w:rFonts w:eastAsia="Calibri"/>
                <w:lang w:eastAsia="en-US"/>
              </w:rPr>
              <w:t>5.1.</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нарушения при формировании и исполнении бюджета</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9 488,7 / 624</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5.2.</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нарушения ведения бухгалтерского учета, составления и представления бухгалтерской (финансовой) отчетности</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902,4 / 81</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5.3.</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нарушения в сфере управления и распоряжения государственной (муниципальной) собственностью</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539,0 / 26</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5.4.</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нарушения при осуществлении государственных (муниципальных) закупок и закупок отдельными видами юридических лиц</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1 027,7 / 313</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5.6.</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иные нарушения</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0,0 / 14</w:t>
            </w:r>
          </w:p>
        </w:tc>
      </w:tr>
      <w:tr w:rsidR="000C3DC3" w:rsidRPr="00664CF5" w:rsidTr="00A92D1E">
        <w:tc>
          <w:tcPr>
            <w:tcW w:w="803" w:type="dxa"/>
            <w:shd w:val="clear" w:color="auto" w:fill="auto"/>
          </w:tcPr>
          <w:p w:rsidR="000C3DC3" w:rsidRPr="00664CF5" w:rsidRDefault="000C3DC3" w:rsidP="00A92D1E">
            <w:pPr>
              <w:jc w:val="center"/>
              <w:rPr>
                <w:rFonts w:eastAsia="Calibri"/>
                <w:lang w:eastAsia="en-US"/>
              </w:rPr>
            </w:pPr>
            <w:r w:rsidRPr="00664CF5">
              <w:rPr>
                <w:rFonts w:eastAsia="Calibri"/>
                <w:lang w:eastAsia="en-US"/>
              </w:rPr>
              <w:t>5.7.</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нецелевое использование бюджетных средств</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76,9 / 1</w:t>
            </w:r>
          </w:p>
        </w:tc>
      </w:tr>
      <w:tr w:rsidR="000C3DC3" w:rsidRPr="00664CF5" w:rsidTr="00A92D1E">
        <w:tc>
          <w:tcPr>
            <w:tcW w:w="803" w:type="dxa"/>
            <w:shd w:val="clear" w:color="auto" w:fill="auto"/>
          </w:tcPr>
          <w:p w:rsidR="000C3DC3" w:rsidRPr="00664CF5" w:rsidRDefault="000C3DC3" w:rsidP="00A92D1E">
            <w:pPr>
              <w:jc w:val="center"/>
              <w:rPr>
                <w:rFonts w:eastAsia="Calibri"/>
                <w:lang w:eastAsia="en-US"/>
              </w:rPr>
            </w:pPr>
            <w:r w:rsidRPr="00664CF5">
              <w:rPr>
                <w:rFonts w:eastAsia="Calibri"/>
                <w:lang w:eastAsia="en-US"/>
              </w:rPr>
              <w:t>5.6.</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неэффективное (безрезультатное) использование бюджетных средств (тыс. рублей)</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180,0</w:t>
            </w:r>
            <w:r w:rsidRPr="00664CF5">
              <w:rPr>
                <w:rFonts w:eastAsia="Calibri"/>
                <w:sz w:val="26"/>
                <w:szCs w:val="26"/>
                <w:lang w:val="en-US" w:eastAsia="en-US"/>
              </w:rPr>
              <w:t xml:space="preserve"> / </w:t>
            </w:r>
            <w:r w:rsidRPr="00664CF5">
              <w:rPr>
                <w:rFonts w:eastAsia="Calibri"/>
                <w:sz w:val="26"/>
                <w:szCs w:val="26"/>
                <w:lang w:eastAsia="en-US"/>
              </w:rPr>
              <w:t>3</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b/>
                <w:lang w:eastAsia="en-US"/>
              </w:rPr>
            </w:pPr>
            <w:r w:rsidRPr="00664CF5">
              <w:rPr>
                <w:rFonts w:eastAsia="Calibri"/>
                <w:b/>
                <w:lang w:val="en-US" w:eastAsia="en-US"/>
              </w:rPr>
              <w:t>6</w:t>
            </w:r>
            <w:r w:rsidRPr="00664CF5">
              <w:rPr>
                <w:rFonts w:eastAsia="Calibri"/>
                <w:b/>
                <w:lang w:eastAsia="en-US"/>
              </w:rPr>
              <w:t>.</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Устранено выявленных нарушений (тыс. рублей/ количество), в том числе:</w:t>
            </w:r>
          </w:p>
        </w:tc>
        <w:tc>
          <w:tcPr>
            <w:tcW w:w="1984" w:type="dxa"/>
            <w:shd w:val="clear" w:color="auto" w:fill="auto"/>
            <w:vAlign w:val="center"/>
          </w:tcPr>
          <w:p w:rsidR="000C3DC3" w:rsidRPr="00664CF5" w:rsidRDefault="000C3DC3" w:rsidP="00A92D1E">
            <w:pPr>
              <w:jc w:val="center"/>
              <w:rPr>
                <w:rFonts w:eastAsia="Calibri"/>
                <w:sz w:val="26"/>
                <w:szCs w:val="26"/>
                <w:highlight w:val="yellow"/>
                <w:lang w:eastAsia="en-US"/>
              </w:rPr>
            </w:pPr>
            <w:r w:rsidRPr="00664CF5">
              <w:rPr>
                <w:rFonts w:eastAsia="Calibri"/>
                <w:sz w:val="26"/>
                <w:szCs w:val="26"/>
                <w:lang w:eastAsia="en-US"/>
              </w:rPr>
              <w:t>6 465,0 / 245</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b/>
                <w:lang w:eastAsia="en-US"/>
              </w:rPr>
            </w:pPr>
            <w:r w:rsidRPr="00664CF5">
              <w:rPr>
                <w:rFonts w:eastAsia="Calibri"/>
                <w:lang w:val="en-US" w:eastAsia="en-US"/>
              </w:rPr>
              <w:t>6</w:t>
            </w:r>
            <w:r w:rsidRPr="00664CF5">
              <w:rPr>
                <w:rFonts w:eastAsia="Calibri"/>
                <w:lang w:eastAsia="en-US"/>
              </w:rPr>
              <w:t>.1.</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обеспечен возврат бюджетных средств, из них:</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 xml:space="preserve"> 2 383,4</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val="en-US" w:eastAsia="en-US"/>
              </w:rPr>
              <w:t>6</w:t>
            </w:r>
            <w:r w:rsidRPr="00664CF5">
              <w:rPr>
                <w:rFonts w:eastAsia="Calibri"/>
                <w:lang w:eastAsia="en-US"/>
              </w:rPr>
              <w:t>.1.1.</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в бюджет города</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1 457,4</w:t>
            </w:r>
          </w:p>
        </w:tc>
      </w:tr>
      <w:tr w:rsidR="000C3DC3" w:rsidRPr="00664CF5" w:rsidTr="00A92D1E">
        <w:tc>
          <w:tcPr>
            <w:tcW w:w="803" w:type="dxa"/>
            <w:shd w:val="clear" w:color="auto" w:fill="auto"/>
          </w:tcPr>
          <w:p w:rsidR="000C3DC3" w:rsidRPr="00664CF5" w:rsidRDefault="000C3DC3" w:rsidP="00A92D1E">
            <w:pPr>
              <w:jc w:val="center"/>
              <w:rPr>
                <w:rFonts w:eastAsia="Calibri"/>
                <w:lang w:eastAsia="en-US"/>
              </w:rPr>
            </w:pPr>
            <w:r w:rsidRPr="00664CF5">
              <w:rPr>
                <w:rFonts w:eastAsia="Calibri"/>
                <w:lang w:val="en-US" w:eastAsia="en-US"/>
              </w:rPr>
              <w:t>6</w:t>
            </w:r>
            <w:r w:rsidRPr="00664CF5">
              <w:rPr>
                <w:rFonts w:eastAsia="Calibri"/>
                <w:lang w:eastAsia="en-US"/>
              </w:rPr>
              <w:t>.1.2.</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в муниципальные учреждения</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926,0</w:t>
            </w:r>
          </w:p>
        </w:tc>
      </w:tr>
      <w:tr w:rsidR="000C3DC3" w:rsidRPr="00664CF5" w:rsidTr="00A92D1E">
        <w:tc>
          <w:tcPr>
            <w:tcW w:w="803" w:type="dxa"/>
            <w:shd w:val="clear" w:color="auto" w:fill="auto"/>
          </w:tcPr>
          <w:p w:rsidR="000C3DC3" w:rsidRPr="00664CF5" w:rsidRDefault="000C3DC3" w:rsidP="00A92D1E">
            <w:pPr>
              <w:ind w:left="29"/>
              <w:contextualSpacing/>
              <w:jc w:val="center"/>
              <w:rPr>
                <w:rFonts w:eastAsia="Calibri"/>
                <w:lang w:eastAsia="en-US"/>
              </w:rPr>
            </w:pPr>
            <w:r w:rsidRPr="00664CF5">
              <w:rPr>
                <w:rFonts w:eastAsia="Calibri"/>
                <w:lang w:val="en-US" w:eastAsia="en-US"/>
              </w:rPr>
              <w:t>6</w:t>
            </w:r>
            <w:r w:rsidRPr="00664CF5">
              <w:rPr>
                <w:rFonts w:eastAsia="Calibri"/>
                <w:lang w:eastAsia="en-US"/>
              </w:rPr>
              <w:t>.2.</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выполнено работ, оказано услуг</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0,0</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val="en-US" w:eastAsia="en-US"/>
              </w:rPr>
              <w:t>7</w:t>
            </w:r>
            <w:r w:rsidRPr="00664CF5">
              <w:rPr>
                <w:rFonts w:eastAsia="Calibri"/>
                <w:lang w:eastAsia="en-US"/>
              </w:rPr>
              <w:t>.</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Внесено представлений всего (по состоянию на 31.12.2023)</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8</w:t>
            </w:r>
          </w:p>
        </w:tc>
      </w:tr>
    </w:tbl>
    <w:p w:rsidR="000C3DC3" w:rsidRPr="00664CF5" w:rsidRDefault="000C3DC3" w:rsidP="000C3DC3">
      <w:pPr>
        <w:rPr>
          <w:sz w:val="2"/>
          <w:szCs w:val="2"/>
        </w:rPr>
      </w:pPr>
    </w:p>
    <w:p w:rsidR="000C3DC3" w:rsidRPr="00664CF5" w:rsidRDefault="000C3DC3" w:rsidP="000C3DC3">
      <w:pPr>
        <w:rPr>
          <w:sz w:val="2"/>
          <w:szCs w:val="2"/>
        </w:rPr>
      </w:pPr>
    </w:p>
    <w:p w:rsidR="000C3DC3" w:rsidRPr="00664CF5" w:rsidRDefault="000C3DC3" w:rsidP="000C3DC3">
      <w:pPr>
        <w:rPr>
          <w:sz w:val="2"/>
          <w:szCs w:val="2"/>
        </w:rPr>
      </w:pPr>
    </w:p>
    <w:p w:rsidR="000C3DC3" w:rsidRPr="00664CF5" w:rsidRDefault="000C3DC3" w:rsidP="000C3DC3">
      <w:pPr>
        <w:rPr>
          <w:sz w:val="2"/>
          <w:szCs w:val="2"/>
        </w:rPr>
      </w:pPr>
    </w:p>
    <w:p w:rsidR="000C3DC3" w:rsidRPr="00664CF5" w:rsidRDefault="000C3DC3" w:rsidP="000C3DC3">
      <w:pPr>
        <w:rPr>
          <w:sz w:val="2"/>
          <w:szCs w:val="2"/>
        </w:rPr>
      </w:pPr>
    </w:p>
    <w:p w:rsidR="000C3DC3" w:rsidRPr="00664CF5" w:rsidRDefault="000C3DC3" w:rsidP="000C3DC3">
      <w:pPr>
        <w:rPr>
          <w:sz w:val="2"/>
          <w:szCs w:val="2"/>
        </w:rPr>
      </w:pPr>
    </w:p>
    <w:p w:rsidR="000C3DC3" w:rsidRPr="00664CF5" w:rsidRDefault="000C3DC3" w:rsidP="000C3DC3">
      <w:pPr>
        <w:rPr>
          <w:sz w:val="2"/>
          <w:szCs w:val="2"/>
        </w:rPr>
      </w:pPr>
    </w:p>
    <w:tbl>
      <w:tblPr>
        <w:tblpPr w:leftFromText="180" w:rightFromText="180" w:vertAnchor="text" w:horzAnchor="margin" w:tblpY="-6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6280"/>
        <w:gridCol w:w="1984"/>
      </w:tblGrid>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val="en-US" w:eastAsia="en-US"/>
              </w:rPr>
              <w:lastRenderedPageBreak/>
              <w:t>8</w:t>
            </w:r>
            <w:r w:rsidRPr="00664CF5">
              <w:rPr>
                <w:rFonts w:eastAsia="Calibri"/>
                <w:lang w:eastAsia="en-US"/>
              </w:rPr>
              <w:t>.</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Внесено предписаний всего (по состоянию на 31.12.2023)</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5</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val="en-US" w:eastAsia="en-US"/>
              </w:rPr>
              <w:t>9</w:t>
            </w:r>
            <w:r w:rsidRPr="00664CF5">
              <w:rPr>
                <w:rFonts w:eastAsia="Calibri"/>
                <w:lang w:eastAsia="en-US"/>
              </w:rPr>
              <w:t>.</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Направлено информационных писем в органы местного самоуправления и объекты контроля</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w:t>
            </w:r>
          </w:p>
        </w:tc>
      </w:tr>
      <w:tr w:rsidR="000C3DC3" w:rsidRPr="00664CF5" w:rsidTr="00A92D1E">
        <w:tc>
          <w:tcPr>
            <w:tcW w:w="803" w:type="dxa"/>
            <w:shd w:val="clear" w:color="auto" w:fill="auto"/>
          </w:tcPr>
          <w:p w:rsidR="000C3DC3" w:rsidRPr="00664CF5" w:rsidRDefault="000C3DC3" w:rsidP="00A92D1E">
            <w:pPr>
              <w:jc w:val="center"/>
              <w:rPr>
                <w:rFonts w:eastAsia="Calibri"/>
                <w:lang w:eastAsia="en-US"/>
              </w:rPr>
            </w:pPr>
            <w:r w:rsidRPr="00664CF5">
              <w:rPr>
                <w:rFonts w:eastAsia="Calibri"/>
                <w:lang w:eastAsia="en-US"/>
              </w:rPr>
              <w:t>1</w:t>
            </w:r>
            <w:r w:rsidRPr="00664CF5">
              <w:rPr>
                <w:rFonts w:eastAsia="Calibri"/>
                <w:lang w:val="en-US" w:eastAsia="en-US"/>
              </w:rPr>
              <w:t>0</w:t>
            </w:r>
            <w:r w:rsidRPr="00664CF5">
              <w:rPr>
                <w:rFonts w:eastAsia="Calibri"/>
                <w:lang w:eastAsia="en-US"/>
              </w:rPr>
              <w:t>.</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Количество материалов, направленных в органы прокуратуры и иные правоохранительные</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3</w:t>
            </w:r>
          </w:p>
        </w:tc>
      </w:tr>
      <w:tr w:rsidR="000C3DC3" w:rsidRPr="00664CF5" w:rsidTr="00A92D1E">
        <w:trPr>
          <w:trHeight w:val="65"/>
        </w:trPr>
        <w:tc>
          <w:tcPr>
            <w:tcW w:w="803" w:type="dxa"/>
            <w:shd w:val="clear" w:color="auto" w:fill="auto"/>
          </w:tcPr>
          <w:p w:rsidR="000C3DC3" w:rsidRPr="00664CF5" w:rsidRDefault="000C3DC3" w:rsidP="00A92D1E">
            <w:pPr>
              <w:jc w:val="center"/>
              <w:rPr>
                <w:rFonts w:eastAsia="Calibri"/>
                <w:lang w:eastAsia="en-US"/>
              </w:rPr>
            </w:pPr>
            <w:r w:rsidRPr="00664CF5">
              <w:rPr>
                <w:rFonts w:eastAsia="Calibri"/>
                <w:lang w:eastAsia="en-US"/>
              </w:rPr>
              <w:t>1</w:t>
            </w:r>
            <w:r w:rsidRPr="00664CF5">
              <w:rPr>
                <w:rFonts w:eastAsia="Calibri"/>
                <w:lang w:val="en-US" w:eastAsia="en-US"/>
              </w:rPr>
              <w:t>1</w:t>
            </w:r>
            <w:r w:rsidRPr="00664CF5">
              <w:rPr>
                <w:rFonts w:eastAsia="Calibri"/>
                <w:lang w:eastAsia="en-US"/>
              </w:rPr>
              <w:t>.</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Результаты рассмотрения органами прокуратуры и иными правоохранительными органами материалов, направленных контрольно-счетным органом</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Х</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1</w:t>
            </w:r>
            <w:r w:rsidRPr="00664CF5">
              <w:rPr>
                <w:rFonts w:eastAsia="Calibri"/>
                <w:lang w:val="en-US" w:eastAsia="en-US"/>
              </w:rPr>
              <w:t>1</w:t>
            </w:r>
            <w:r w:rsidRPr="00664CF5">
              <w:rPr>
                <w:rFonts w:eastAsia="Calibri"/>
                <w:lang w:eastAsia="en-US"/>
              </w:rPr>
              <w:t>.1.</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принято решений о возбуждении уголовного дела</w:t>
            </w:r>
          </w:p>
        </w:tc>
        <w:tc>
          <w:tcPr>
            <w:tcW w:w="1984" w:type="dxa"/>
            <w:tcBorders>
              <w:bottom w:val="single" w:sz="4" w:space="0" w:color="auto"/>
            </w:tcBorders>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0</w:t>
            </w:r>
          </w:p>
        </w:tc>
      </w:tr>
      <w:tr w:rsidR="000C3DC3" w:rsidRPr="00664CF5" w:rsidTr="00A92D1E">
        <w:tc>
          <w:tcPr>
            <w:tcW w:w="803" w:type="dxa"/>
            <w:shd w:val="clear" w:color="auto" w:fill="auto"/>
          </w:tcPr>
          <w:p w:rsidR="000C3DC3" w:rsidRPr="00664CF5" w:rsidRDefault="000C3DC3" w:rsidP="00A92D1E">
            <w:pPr>
              <w:jc w:val="center"/>
              <w:rPr>
                <w:rFonts w:eastAsia="Calibri"/>
                <w:lang w:eastAsia="en-US"/>
              </w:rPr>
            </w:pPr>
            <w:r w:rsidRPr="00664CF5">
              <w:rPr>
                <w:rFonts w:eastAsia="Calibri"/>
                <w:lang w:eastAsia="en-US"/>
              </w:rPr>
              <w:t>1</w:t>
            </w:r>
            <w:r w:rsidRPr="00664CF5">
              <w:rPr>
                <w:rFonts w:eastAsia="Calibri"/>
                <w:lang w:val="en-US" w:eastAsia="en-US"/>
              </w:rPr>
              <w:t>1</w:t>
            </w:r>
            <w:r w:rsidRPr="00664CF5">
              <w:rPr>
                <w:rFonts w:eastAsia="Calibri"/>
                <w:lang w:eastAsia="en-US"/>
              </w:rPr>
              <w:t>.2.</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принято решений об отказе в возбуждении уголовного дела</w:t>
            </w:r>
          </w:p>
        </w:tc>
        <w:tc>
          <w:tcPr>
            <w:tcW w:w="1984" w:type="dxa"/>
            <w:tcBorders>
              <w:bottom w:val="single" w:sz="4" w:space="0" w:color="auto"/>
            </w:tcBorders>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0</w:t>
            </w:r>
          </w:p>
        </w:tc>
      </w:tr>
      <w:tr w:rsidR="000C3DC3" w:rsidRPr="00664CF5" w:rsidTr="00A92D1E">
        <w:tc>
          <w:tcPr>
            <w:tcW w:w="803" w:type="dxa"/>
            <w:shd w:val="clear" w:color="auto" w:fill="auto"/>
          </w:tcPr>
          <w:p w:rsidR="000C3DC3" w:rsidRPr="00664CF5" w:rsidRDefault="000C3DC3" w:rsidP="00A92D1E">
            <w:pPr>
              <w:jc w:val="center"/>
              <w:rPr>
                <w:rFonts w:eastAsia="Calibri"/>
                <w:lang w:eastAsia="en-US"/>
              </w:rPr>
            </w:pPr>
            <w:r w:rsidRPr="00664CF5">
              <w:rPr>
                <w:rFonts w:eastAsia="Calibri"/>
                <w:lang w:eastAsia="en-US"/>
              </w:rPr>
              <w:t>11.3.</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возбуждено дел об административном правонарушении</w:t>
            </w:r>
          </w:p>
        </w:tc>
        <w:tc>
          <w:tcPr>
            <w:tcW w:w="1984" w:type="dxa"/>
            <w:tcBorders>
              <w:top w:val="single" w:sz="4" w:space="0" w:color="auto"/>
            </w:tcBorders>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w:t>
            </w:r>
          </w:p>
        </w:tc>
      </w:tr>
      <w:tr w:rsidR="000C3DC3" w:rsidRPr="00664CF5" w:rsidTr="00A92D1E">
        <w:tc>
          <w:tcPr>
            <w:tcW w:w="803" w:type="dxa"/>
            <w:shd w:val="clear" w:color="auto" w:fill="auto"/>
          </w:tcPr>
          <w:p w:rsidR="000C3DC3" w:rsidRPr="00664CF5" w:rsidRDefault="000C3DC3" w:rsidP="00A92D1E">
            <w:pPr>
              <w:jc w:val="center"/>
              <w:rPr>
                <w:rFonts w:eastAsia="Calibri"/>
                <w:lang w:eastAsia="en-US"/>
              </w:rPr>
            </w:pPr>
            <w:r w:rsidRPr="00664CF5">
              <w:rPr>
                <w:rFonts w:eastAsia="Calibri"/>
                <w:lang w:eastAsia="en-US"/>
              </w:rPr>
              <w:t>11.4.</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привлечено должностных лиц к административной ответственности по делам об административных правонарушениях</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w:t>
            </w:r>
          </w:p>
        </w:tc>
      </w:tr>
      <w:tr w:rsidR="000C3DC3" w:rsidRPr="00664CF5" w:rsidTr="00A92D1E">
        <w:tc>
          <w:tcPr>
            <w:tcW w:w="803" w:type="dxa"/>
            <w:shd w:val="clear" w:color="auto" w:fill="auto"/>
          </w:tcPr>
          <w:p w:rsidR="000C3DC3" w:rsidRPr="00664CF5" w:rsidRDefault="000C3DC3" w:rsidP="00A92D1E">
            <w:pPr>
              <w:jc w:val="center"/>
              <w:rPr>
                <w:rFonts w:eastAsia="Calibri"/>
                <w:lang w:eastAsia="en-US"/>
              </w:rPr>
            </w:pPr>
            <w:r w:rsidRPr="00664CF5">
              <w:rPr>
                <w:rFonts w:eastAsia="Calibri"/>
                <w:lang w:eastAsia="en-US"/>
              </w:rPr>
              <w:t>11.5.</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внесено представлений об устранении нарушений закона</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w:t>
            </w:r>
          </w:p>
        </w:tc>
      </w:tr>
      <w:tr w:rsidR="000C3DC3" w:rsidRPr="00664CF5" w:rsidTr="00A92D1E">
        <w:tc>
          <w:tcPr>
            <w:tcW w:w="803" w:type="dxa"/>
            <w:shd w:val="clear" w:color="auto" w:fill="auto"/>
          </w:tcPr>
          <w:p w:rsidR="000C3DC3" w:rsidRPr="00664CF5" w:rsidRDefault="000C3DC3" w:rsidP="00A92D1E">
            <w:pPr>
              <w:contextualSpacing/>
              <w:jc w:val="center"/>
              <w:rPr>
                <w:rFonts w:eastAsia="Calibri"/>
                <w:lang w:eastAsia="en-US"/>
              </w:rPr>
            </w:pPr>
            <w:r w:rsidRPr="00664CF5">
              <w:rPr>
                <w:rFonts w:eastAsia="Calibri"/>
                <w:lang w:eastAsia="en-US"/>
              </w:rPr>
              <w:t>1</w:t>
            </w:r>
            <w:r w:rsidRPr="00664CF5">
              <w:rPr>
                <w:rFonts w:eastAsia="Calibri"/>
                <w:lang w:val="en-US" w:eastAsia="en-US"/>
              </w:rPr>
              <w:t>2</w:t>
            </w:r>
            <w:r w:rsidRPr="00664CF5">
              <w:rPr>
                <w:rFonts w:eastAsia="Calibri"/>
                <w:lang w:eastAsia="en-US"/>
              </w:rPr>
              <w:t>.</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Возбуждено дел об административных правонарушениях сотрудниками контрольно-счетного органа</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0</w:t>
            </w:r>
          </w:p>
        </w:tc>
      </w:tr>
      <w:tr w:rsidR="000C3DC3" w:rsidRPr="00664CF5" w:rsidTr="00A92D1E">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1</w:t>
            </w:r>
            <w:r w:rsidRPr="00664CF5">
              <w:rPr>
                <w:rFonts w:eastAsia="Calibri"/>
                <w:lang w:val="en-US" w:eastAsia="en-US"/>
              </w:rPr>
              <w:t>3</w:t>
            </w:r>
            <w:r w:rsidRPr="00664CF5">
              <w:rPr>
                <w:rFonts w:eastAsia="Calibri"/>
                <w:lang w:eastAsia="en-US"/>
              </w:rPr>
              <w:t>.</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Количество дел об административных правонарушениях, возбужденных сотрудниками контрольно-счетного органа, по которым судьей, органом, должностным лицом,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0</w:t>
            </w:r>
          </w:p>
        </w:tc>
      </w:tr>
      <w:tr w:rsidR="000C3DC3" w:rsidRPr="00664CF5" w:rsidTr="00A92D1E">
        <w:tc>
          <w:tcPr>
            <w:tcW w:w="803" w:type="dxa"/>
            <w:shd w:val="clear" w:color="auto" w:fill="auto"/>
          </w:tcPr>
          <w:p w:rsidR="000C3DC3" w:rsidRPr="00664CF5" w:rsidRDefault="000C3DC3" w:rsidP="00A92D1E">
            <w:pPr>
              <w:ind w:left="66"/>
              <w:contextualSpacing/>
              <w:jc w:val="center"/>
              <w:rPr>
                <w:rFonts w:eastAsia="Calibri"/>
                <w:lang w:eastAsia="en-US"/>
              </w:rPr>
            </w:pPr>
            <w:r w:rsidRPr="00664CF5">
              <w:rPr>
                <w:rFonts w:eastAsia="Calibri"/>
                <w:lang w:eastAsia="en-US"/>
              </w:rPr>
              <w:t>1</w:t>
            </w:r>
            <w:r w:rsidRPr="00664CF5">
              <w:rPr>
                <w:rFonts w:eastAsia="Calibri"/>
                <w:lang w:val="en-US" w:eastAsia="en-US"/>
              </w:rPr>
              <w:t>4</w:t>
            </w:r>
            <w:r w:rsidRPr="00664CF5">
              <w:rPr>
                <w:rFonts w:eastAsia="Calibri"/>
                <w:lang w:eastAsia="en-US"/>
              </w:rPr>
              <w:t>.</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Возбуждено дел об административных правонарушениях по обращениям контрольно-счетного органа, направленным в уполномоченные органы</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3</w:t>
            </w:r>
          </w:p>
        </w:tc>
      </w:tr>
      <w:tr w:rsidR="000C3DC3" w:rsidRPr="00664CF5" w:rsidTr="00A92D1E">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1</w:t>
            </w:r>
            <w:r w:rsidRPr="00664CF5">
              <w:rPr>
                <w:rFonts w:eastAsia="Calibri"/>
                <w:lang w:val="en-US" w:eastAsia="en-US"/>
              </w:rPr>
              <w:t>5</w:t>
            </w:r>
            <w:r w:rsidRPr="00664CF5">
              <w:rPr>
                <w:rFonts w:eastAsia="Calibri"/>
                <w:lang w:eastAsia="en-US"/>
              </w:rPr>
              <w:t>.</w:t>
            </w:r>
          </w:p>
        </w:tc>
        <w:tc>
          <w:tcPr>
            <w:tcW w:w="6280" w:type="dxa"/>
            <w:shd w:val="clear" w:color="auto" w:fill="auto"/>
          </w:tcPr>
          <w:p w:rsidR="000C3DC3" w:rsidRPr="00664CF5" w:rsidRDefault="000C3DC3" w:rsidP="00A92D1E">
            <w:pPr>
              <w:jc w:val="both"/>
              <w:rPr>
                <w:rFonts w:eastAsia="Calibri"/>
                <w:lang w:eastAsia="en-US"/>
              </w:rPr>
            </w:pPr>
            <w:r w:rsidRPr="00664CF5">
              <w:rPr>
                <w:rFonts w:eastAsia="Calibri"/>
                <w:lang w:eastAsia="en-US"/>
              </w:rPr>
              <w:t>Привлечено должностных и юридических лиц к административной ответственности по делам об административных правонарушениях</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3</w:t>
            </w:r>
          </w:p>
        </w:tc>
      </w:tr>
      <w:tr w:rsidR="000C3DC3" w:rsidRPr="00664CF5" w:rsidTr="00A92D1E">
        <w:tc>
          <w:tcPr>
            <w:tcW w:w="803" w:type="dxa"/>
            <w:shd w:val="clear" w:color="auto" w:fill="auto"/>
          </w:tcPr>
          <w:p w:rsidR="000C3DC3" w:rsidRPr="00664CF5" w:rsidRDefault="000C3DC3" w:rsidP="00A92D1E">
            <w:pPr>
              <w:ind w:left="66"/>
              <w:contextualSpacing/>
              <w:jc w:val="center"/>
              <w:rPr>
                <w:rFonts w:eastAsia="Calibri"/>
                <w:lang w:eastAsia="en-US"/>
              </w:rPr>
            </w:pPr>
            <w:r w:rsidRPr="00664CF5">
              <w:rPr>
                <w:rFonts w:eastAsia="Calibri"/>
                <w:lang w:eastAsia="en-US"/>
              </w:rPr>
              <w:t>1</w:t>
            </w:r>
            <w:r w:rsidRPr="00664CF5">
              <w:rPr>
                <w:rFonts w:eastAsia="Calibri"/>
                <w:lang w:val="en-US" w:eastAsia="en-US"/>
              </w:rPr>
              <w:t>6</w:t>
            </w:r>
            <w:r w:rsidRPr="00664CF5">
              <w:rPr>
                <w:rFonts w:eastAsia="Calibri"/>
                <w:lang w:eastAsia="en-US"/>
              </w:rPr>
              <w:t>.</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Привлечено лиц к дисциплинарной ответственности</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10</w:t>
            </w:r>
          </w:p>
        </w:tc>
      </w:tr>
      <w:tr w:rsidR="000C3DC3" w:rsidRPr="00664CF5" w:rsidTr="00A92D1E">
        <w:tc>
          <w:tcPr>
            <w:tcW w:w="803" w:type="dxa"/>
            <w:shd w:val="clear" w:color="auto" w:fill="auto"/>
          </w:tcPr>
          <w:p w:rsidR="000C3DC3" w:rsidRPr="00664CF5" w:rsidRDefault="000C3DC3" w:rsidP="00A92D1E">
            <w:pPr>
              <w:ind w:left="66"/>
              <w:contextualSpacing/>
              <w:jc w:val="center"/>
              <w:rPr>
                <w:rFonts w:eastAsia="Calibri"/>
                <w:lang w:eastAsia="en-US"/>
              </w:rPr>
            </w:pPr>
            <w:r w:rsidRPr="00664CF5">
              <w:rPr>
                <w:rFonts w:eastAsia="Calibri"/>
                <w:lang w:eastAsia="en-US"/>
              </w:rPr>
              <w:t>1</w:t>
            </w:r>
            <w:r w:rsidRPr="00664CF5">
              <w:rPr>
                <w:rFonts w:eastAsia="Calibri"/>
                <w:lang w:val="en-US" w:eastAsia="en-US"/>
              </w:rPr>
              <w:t>7</w:t>
            </w:r>
            <w:r w:rsidRPr="00664CF5">
              <w:rPr>
                <w:rFonts w:eastAsia="Calibri"/>
                <w:lang w:eastAsia="en-US"/>
              </w:rPr>
              <w:t>.</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Штатная / фактическая численность сотрудников (</w:t>
            </w:r>
            <w:proofErr w:type="spellStart"/>
            <w:r w:rsidRPr="00664CF5">
              <w:rPr>
                <w:rFonts w:eastAsia="Calibri"/>
                <w:lang w:eastAsia="en-US"/>
              </w:rPr>
              <w:t>шт.ед</w:t>
            </w:r>
            <w:proofErr w:type="spellEnd"/>
            <w:r w:rsidRPr="00664CF5">
              <w:rPr>
                <w:rFonts w:eastAsia="Calibri"/>
                <w:lang w:eastAsia="en-US"/>
              </w:rPr>
              <w:t>.) на конец отчетного периода, в том числе замещающих:</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5/5</w:t>
            </w:r>
          </w:p>
        </w:tc>
      </w:tr>
      <w:tr w:rsidR="000C3DC3" w:rsidRPr="00664CF5" w:rsidTr="00A92D1E">
        <w:tc>
          <w:tcPr>
            <w:tcW w:w="803" w:type="dxa"/>
            <w:shd w:val="clear" w:color="auto" w:fill="auto"/>
          </w:tcPr>
          <w:p w:rsidR="000C3DC3" w:rsidRPr="00664CF5" w:rsidRDefault="000C3DC3" w:rsidP="00A92D1E">
            <w:pPr>
              <w:ind w:left="66"/>
              <w:contextualSpacing/>
              <w:jc w:val="center"/>
              <w:rPr>
                <w:rFonts w:eastAsia="Calibri"/>
                <w:lang w:eastAsia="en-US"/>
              </w:rPr>
            </w:pPr>
            <w:r w:rsidRPr="00664CF5">
              <w:rPr>
                <w:rFonts w:eastAsia="Calibri"/>
                <w:lang w:eastAsia="en-US"/>
              </w:rPr>
              <w:t>1</w:t>
            </w:r>
            <w:r w:rsidRPr="00664CF5">
              <w:rPr>
                <w:rFonts w:eastAsia="Calibri"/>
                <w:lang w:val="en-US" w:eastAsia="en-US"/>
              </w:rPr>
              <w:t>7</w:t>
            </w:r>
            <w:r w:rsidRPr="00664CF5">
              <w:rPr>
                <w:rFonts w:eastAsia="Calibri"/>
                <w:lang w:eastAsia="en-US"/>
              </w:rPr>
              <w:t>.1.</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муниципальную должность</w:t>
            </w:r>
          </w:p>
        </w:tc>
        <w:tc>
          <w:tcPr>
            <w:tcW w:w="1984" w:type="dxa"/>
            <w:shd w:val="clear" w:color="auto" w:fill="auto"/>
            <w:vAlign w:val="center"/>
          </w:tcPr>
          <w:p w:rsidR="000C3DC3" w:rsidRPr="00664CF5" w:rsidRDefault="000C3DC3" w:rsidP="00A92D1E">
            <w:pPr>
              <w:jc w:val="center"/>
              <w:rPr>
                <w:rFonts w:eastAsia="Calibri"/>
                <w:sz w:val="26"/>
                <w:szCs w:val="26"/>
                <w:lang w:val="en-US" w:eastAsia="en-US"/>
              </w:rPr>
            </w:pPr>
            <w:r w:rsidRPr="00664CF5">
              <w:rPr>
                <w:rFonts w:eastAsia="Calibri"/>
                <w:sz w:val="26"/>
                <w:szCs w:val="26"/>
                <w:lang w:eastAsia="en-US"/>
              </w:rPr>
              <w:t>2</w:t>
            </w:r>
            <w:r w:rsidRPr="00664CF5">
              <w:rPr>
                <w:rFonts w:eastAsia="Calibri"/>
                <w:sz w:val="26"/>
                <w:szCs w:val="26"/>
                <w:lang w:val="en-US" w:eastAsia="en-US"/>
              </w:rPr>
              <w:t xml:space="preserve"> / 2</w:t>
            </w:r>
          </w:p>
        </w:tc>
      </w:tr>
      <w:tr w:rsidR="000C3DC3" w:rsidRPr="00664CF5" w:rsidTr="00A92D1E">
        <w:tc>
          <w:tcPr>
            <w:tcW w:w="803" w:type="dxa"/>
            <w:shd w:val="clear" w:color="auto" w:fill="auto"/>
          </w:tcPr>
          <w:p w:rsidR="000C3DC3" w:rsidRPr="00664CF5" w:rsidRDefault="000C3DC3" w:rsidP="00A92D1E">
            <w:pPr>
              <w:ind w:left="66"/>
              <w:contextualSpacing/>
              <w:jc w:val="center"/>
              <w:rPr>
                <w:rFonts w:eastAsia="Calibri"/>
                <w:lang w:eastAsia="en-US"/>
              </w:rPr>
            </w:pPr>
            <w:r w:rsidRPr="00664CF5">
              <w:rPr>
                <w:rFonts w:eastAsia="Calibri"/>
                <w:lang w:eastAsia="en-US"/>
              </w:rPr>
              <w:t>1</w:t>
            </w:r>
            <w:r w:rsidRPr="00664CF5">
              <w:rPr>
                <w:rFonts w:eastAsia="Calibri"/>
                <w:lang w:val="en-US" w:eastAsia="en-US"/>
              </w:rPr>
              <w:t>7</w:t>
            </w:r>
            <w:r w:rsidRPr="00664CF5">
              <w:rPr>
                <w:rFonts w:eastAsia="Calibri"/>
                <w:lang w:eastAsia="en-US"/>
              </w:rPr>
              <w:t>.2.</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должность муниципальной гражданской службы</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val="en-US" w:eastAsia="en-US"/>
              </w:rPr>
              <w:t xml:space="preserve">3 / </w:t>
            </w:r>
            <w:r w:rsidRPr="00664CF5">
              <w:rPr>
                <w:rFonts w:eastAsia="Calibri"/>
                <w:sz w:val="26"/>
                <w:szCs w:val="26"/>
                <w:lang w:eastAsia="en-US"/>
              </w:rPr>
              <w:t>3</w:t>
            </w:r>
          </w:p>
        </w:tc>
      </w:tr>
      <w:tr w:rsidR="000C3DC3" w:rsidRPr="00664CF5" w:rsidTr="00A92D1E">
        <w:tc>
          <w:tcPr>
            <w:tcW w:w="803" w:type="dxa"/>
            <w:shd w:val="clear" w:color="auto" w:fill="auto"/>
          </w:tcPr>
          <w:p w:rsidR="000C3DC3" w:rsidRPr="00664CF5" w:rsidRDefault="000C3DC3" w:rsidP="00A92D1E">
            <w:pPr>
              <w:ind w:left="66"/>
              <w:contextualSpacing/>
              <w:jc w:val="center"/>
              <w:rPr>
                <w:rFonts w:eastAsia="Calibri"/>
                <w:lang w:eastAsia="en-US"/>
              </w:rPr>
            </w:pPr>
            <w:r w:rsidRPr="00664CF5">
              <w:rPr>
                <w:rFonts w:eastAsia="Calibri"/>
                <w:lang w:eastAsia="en-US"/>
              </w:rPr>
              <w:t>1</w:t>
            </w:r>
            <w:r w:rsidRPr="00664CF5">
              <w:rPr>
                <w:rFonts w:eastAsia="Calibri"/>
                <w:lang w:val="en-US" w:eastAsia="en-US"/>
              </w:rPr>
              <w:t>7</w:t>
            </w:r>
            <w:r w:rsidRPr="00664CF5">
              <w:rPr>
                <w:rFonts w:eastAsia="Calibri"/>
                <w:lang w:eastAsia="en-US"/>
              </w:rPr>
              <w:t>.3.</w:t>
            </w:r>
          </w:p>
        </w:tc>
        <w:tc>
          <w:tcPr>
            <w:tcW w:w="6280" w:type="dxa"/>
            <w:shd w:val="clear" w:color="auto" w:fill="auto"/>
          </w:tcPr>
          <w:p w:rsidR="000C3DC3" w:rsidRPr="00664CF5" w:rsidRDefault="000C3DC3" w:rsidP="00A92D1E">
            <w:pPr>
              <w:ind w:left="33"/>
              <w:contextualSpacing/>
              <w:jc w:val="both"/>
              <w:rPr>
                <w:rFonts w:eastAsia="Calibri"/>
                <w:lang w:eastAsia="en-US"/>
              </w:rPr>
            </w:pPr>
            <w:r w:rsidRPr="00664CF5">
              <w:rPr>
                <w:rFonts w:eastAsia="Calibri"/>
                <w:lang w:eastAsia="en-US"/>
              </w:rPr>
              <w:t>иные</w:t>
            </w:r>
          </w:p>
        </w:tc>
        <w:tc>
          <w:tcPr>
            <w:tcW w:w="1984" w:type="dxa"/>
            <w:shd w:val="clear" w:color="auto" w:fill="auto"/>
            <w:vAlign w:val="center"/>
          </w:tcPr>
          <w:p w:rsidR="000C3DC3" w:rsidRPr="00664CF5" w:rsidRDefault="000C3DC3" w:rsidP="00A92D1E">
            <w:pPr>
              <w:jc w:val="center"/>
              <w:rPr>
                <w:rFonts w:eastAsia="Calibri"/>
                <w:sz w:val="26"/>
                <w:szCs w:val="26"/>
                <w:lang w:val="en-US" w:eastAsia="en-US"/>
              </w:rPr>
            </w:pPr>
            <w:r w:rsidRPr="00664CF5">
              <w:rPr>
                <w:rFonts w:eastAsia="Calibri"/>
                <w:sz w:val="26"/>
                <w:szCs w:val="26"/>
                <w:lang w:eastAsia="en-US"/>
              </w:rPr>
              <w:t>0</w:t>
            </w:r>
            <w:r w:rsidRPr="00664CF5">
              <w:rPr>
                <w:rFonts w:eastAsia="Calibri"/>
                <w:sz w:val="26"/>
                <w:szCs w:val="26"/>
                <w:lang w:val="en-US" w:eastAsia="en-US"/>
              </w:rPr>
              <w:t xml:space="preserve"> / 0</w:t>
            </w:r>
          </w:p>
        </w:tc>
      </w:tr>
      <w:tr w:rsidR="000C3DC3" w:rsidRPr="00664CF5" w:rsidTr="00A92D1E">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1</w:t>
            </w:r>
            <w:r w:rsidRPr="00664CF5">
              <w:rPr>
                <w:rFonts w:eastAsia="Calibri"/>
                <w:lang w:val="en-US" w:eastAsia="en-US"/>
              </w:rPr>
              <w:t>8</w:t>
            </w:r>
            <w:r w:rsidRPr="00664CF5">
              <w:rPr>
                <w:rFonts w:eastAsia="Calibri"/>
                <w:lang w:eastAsia="en-US"/>
              </w:rPr>
              <w:t>.</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Структура профессионального образования сотрудников (ед.)</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Х</w:t>
            </w:r>
          </w:p>
        </w:tc>
      </w:tr>
      <w:tr w:rsidR="000C3DC3" w:rsidRPr="00664CF5" w:rsidTr="00A92D1E">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1</w:t>
            </w:r>
            <w:r w:rsidRPr="00664CF5">
              <w:rPr>
                <w:rFonts w:eastAsia="Calibri"/>
                <w:lang w:val="en-US" w:eastAsia="en-US"/>
              </w:rPr>
              <w:t>8</w:t>
            </w:r>
            <w:r w:rsidRPr="00664CF5">
              <w:rPr>
                <w:rFonts w:eastAsia="Calibri"/>
                <w:lang w:eastAsia="en-US"/>
              </w:rPr>
              <w:t>.1.</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экономическое</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4</w:t>
            </w:r>
          </w:p>
        </w:tc>
      </w:tr>
      <w:tr w:rsidR="000C3DC3" w:rsidRPr="00664CF5" w:rsidTr="00A92D1E">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1</w:t>
            </w:r>
            <w:r w:rsidRPr="00664CF5">
              <w:rPr>
                <w:rFonts w:eastAsia="Calibri"/>
                <w:lang w:val="en-US" w:eastAsia="en-US"/>
              </w:rPr>
              <w:t>8</w:t>
            </w:r>
            <w:r w:rsidRPr="00664CF5">
              <w:rPr>
                <w:rFonts w:eastAsia="Calibri"/>
                <w:lang w:eastAsia="en-US"/>
              </w:rPr>
              <w:t>.2.</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юридическое</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w:t>
            </w:r>
          </w:p>
        </w:tc>
      </w:tr>
      <w:tr w:rsidR="000C3DC3" w:rsidRPr="00664CF5" w:rsidTr="00A92D1E">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1</w:t>
            </w:r>
            <w:r w:rsidRPr="00664CF5">
              <w:rPr>
                <w:rFonts w:eastAsia="Calibri"/>
                <w:lang w:val="en-US" w:eastAsia="en-US"/>
              </w:rPr>
              <w:t>8</w:t>
            </w:r>
            <w:r w:rsidRPr="00664CF5">
              <w:rPr>
                <w:rFonts w:eastAsia="Calibri"/>
                <w:lang w:eastAsia="en-US"/>
              </w:rPr>
              <w:t>.3.</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управление</w:t>
            </w:r>
          </w:p>
        </w:tc>
        <w:tc>
          <w:tcPr>
            <w:tcW w:w="1984" w:type="dxa"/>
            <w:shd w:val="clear" w:color="auto" w:fill="auto"/>
            <w:vAlign w:val="center"/>
          </w:tcPr>
          <w:p w:rsidR="000C3DC3" w:rsidRPr="00664CF5" w:rsidRDefault="000C3DC3" w:rsidP="00A92D1E">
            <w:pPr>
              <w:jc w:val="center"/>
              <w:rPr>
                <w:rFonts w:eastAsia="Calibri"/>
                <w:sz w:val="26"/>
                <w:szCs w:val="26"/>
                <w:lang w:val="en-US" w:eastAsia="en-US"/>
              </w:rPr>
            </w:pPr>
            <w:r w:rsidRPr="00664CF5">
              <w:rPr>
                <w:rFonts w:eastAsia="Calibri"/>
                <w:sz w:val="26"/>
                <w:szCs w:val="26"/>
                <w:lang w:val="en-US" w:eastAsia="en-US"/>
              </w:rPr>
              <w:t>0</w:t>
            </w:r>
          </w:p>
        </w:tc>
      </w:tr>
      <w:tr w:rsidR="000C3DC3" w:rsidRPr="00664CF5" w:rsidTr="00A92D1E">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eastAsia="en-US"/>
              </w:rPr>
              <w:t>1</w:t>
            </w:r>
            <w:r w:rsidRPr="00664CF5">
              <w:rPr>
                <w:rFonts w:eastAsia="Calibri"/>
                <w:lang w:val="en-US" w:eastAsia="en-US"/>
              </w:rPr>
              <w:t>8</w:t>
            </w:r>
            <w:r w:rsidRPr="00664CF5">
              <w:rPr>
                <w:rFonts w:eastAsia="Calibri"/>
                <w:lang w:eastAsia="en-US"/>
              </w:rPr>
              <w:t>.4.</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иное</w:t>
            </w:r>
          </w:p>
        </w:tc>
        <w:tc>
          <w:tcPr>
            <w:tcW w:w="1984" w:type="dxa"/>
            <w:shd w:val="clear" w:color="auto" w:fill="auto"/>
            <w:vAlign w:val="center"/>
          </w:tcPr>
          <w:p w:rsidR="000C3DC3" w:rsidRPr="00664CF5" w:rsidRDefault="000C3DC3" w:rsidP="00A92D1E">
            <w:pPr>
              <w:jc w:val="center"/>
              <w:rPr>
                <w:rFonts w:eastAsia="Calibri"/>
                <w:sz w:val="26"/>
                <w:szCs w:val="26"/>
                <w:lang w:eastAsia="en-US"/>
              </w:rPr>
            </w:pPr>
            <w:r w:rsidRPr="00664CF5">
              <w:rPr>
                <w:rFonts w:eastAsia="Calibri"/>
                <w:sz w:val="26"/>
                <w:szCs w:val="26"/>
                <w:lang w:eastAsia="en-US"/>
              </w:rPr>
              <w:t>1</w:t>
            </w:r>
          </w:p>
        </w:tc>
      </w:tr>
      <w:tr w:rsidR="000C3DC3" w:rsidRPr="00664CF5" w:rsidTr="00A92D1E">
        <w:tc>
          <w:tcPr>
            <w:tcW w:w="803" w:type="dxa"/>
            <w:shd w:val="clear" w:color="auto" w:fill="auto"/>
          </w:tcPr>
          <w:p w:rsidR="000C3DC3" w:rsidRPr="00664CF5" w:rsidRDefault="000C3DC3" w:rsidP="00A92D1E">
            <w:pPr>
              <w:ind w:left="66"/>
              <w:jc w:val="center"/>
              <w:rPr>
                <w:rFonts w:eastAsia="Calibri"/>
                <w:lang w:eastAsia="en-US"/>
              </w:rPr>
            </w:pPr>
            <w:r w:rsidRPr="00664CF5">
              <w:rPr>
                <w:rFonts w:eastAsia="Calibri"/>
                <w:lang w:val="en-US" w:eastAsia="en-US"/>
              </w:rPr>
              <w:t>19</w:t>
            </w:r>
            <w:r w:rsidRPr="00664CF5">
              <w:rPr>
                <w:rFonts w:eastAsia="Calibri"/>
                <w:lang w:eastAsia="en-US"/>
              </w:rPr>
              <w:t>.</w:t>
            </w:r>
          </w:p>
        </w:tc>
        <w:tc>
          <w:tcPr>
            <w:tcW w:w="6280" w:type="dxa"/>
            <w:shd w:val="clear" w:color="auto" w:fill="auto"/>
          </w:tcPr>
          <w:p w:rsidR="000C3DC3" w:rsidRPr="00664CF5" w:rsidRDefault="000C3DC3" w:rsidP="00A92D1E">
            <w:pPr>
              <w:ind w:left="33"/>
              <w:jc w:val="both"/>
              <w:rPr>
                <w:rFonts w:eastAsia="Calibri"/>
                <w:lang w:eastAsia="en-US"/>
              </w:rPr>
            </w:pPr>
            <w:r w:rsidRPr="00664CF5">
              <w:rPr>
                <w:rFonts w:eastAsia="Calibri"/>
                <w:lang w:eastAsia="en-US"/>
              </w:rPr>
              <w:t>Финансовое обеспечение деятельности контрольно-счетного органа в отчетном году (тыс. рублей)</w:t>
            </w:r>
          </w:p>
        </w:tc>
        <w:tc>
          <w:tcPr>
            <w:tcW w:w="1984" w:type="dxa"/>
            <w:shd w:val="clear" w:color="auto" w:fill="auto"/>
            <w:vAlign w:val="center"/>
          </w:tcPr>
          <w:p w:rsidR="000C3DC3" w:rsidRPr="00664CF5" w:rsidRDefault="000C3DC3" w:rsidP="00A92D1E">
            <w:pPr>
              <w:jc w:val="center"/>
              <w:rPr>
                <w:rFonts w:eastAsia="Calibri"/>
                <w:sz w:val="26"/>
                <w:szCs w:val="26"/>
                <w:lang w:val="en-US" w:eastAsia="en-US"/>
              </w:rPr>
            </w:pPr>
            <w:r w:rsidRPr="00664CF5">
              <w:rPr>
                <w:rFonts w:eastAsia="Calibri"/>
                <w:sz w:val="26"/>
                <w:szCs w:val="26"/>
                <w:lang w:val="en-US" w:eastAsia="en-US"/>
              </w:rPr>
              <w:t>15 357,6</w:t>
            </w:r>
          </w:p>
        </w:tc>
      </w:tr>
    </w:tbl>
    <w:p w:rsidR="000C3DC3" w:rsidRDefault="000C3DC3" w:rsidP="000C3DC3">
      <w:pPr>
        <w:tabs>
          <w:tab w:val="center" w:pos="4748"/>
          <w:tab w:val="left" w:pos="6810"/>
        </w:tabs>
        <w:ind w:firstLine="709"/>
        <w:rPr>
          <w:sz w:val="26"/>
          <w:szCs w:val="26"/>
        </w:rPr>
      </w:pPr>
    </w:p>
    <w:p w:rsidR="008919EE" w:rsidRPr="000C3DC3" w:rsidRDefault="008919EE" w:rsidP="000C3DC3"/>
    <w:sectPr w:rsidR="008919EE" w:rsidRPr="000C3DC3" w:rsidSect="004D53B5">
      <w:pgSz w:w="11906" w:h="16838"/>
      <w:pgMar w:top="993" w:right="567"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F6B" w:rsidRDefault="00CD3F6B" w:rsidP="000C3DC3">
      <w:r>
        <w:separator/>
      </w:r>
    </w:p>
  </w:endnote>
  <w:endnote w:type="continuationSeparator" w:id="0">
    <w:p w:rsidR="00CD3F6B" w:rsidRDefault="00CD3F6B" w:rsidP="000C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F6B" w:rsidRDefault="00CD3F6B" w:rsidP="000C3DC3">
      <w:r>
        <w:separator/>
      </w:r>
    </w:p>
  </w:footnote>
  <w:footnote w:type="continuationSeparator" w:id="0">
    <w:p w:rsidR="00CD3F6B" w:rsidRDefault="00CD3F6B" w:rsidP="000C3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FF6"/>
    <w:multiLevelType w:val="hybridMultilevel"/>
    <w:tmpl w:val="6268B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7852E6E"/>
    <w:multiLevelType w:val="hybridMultilevel"/>
    <w:tmpl w:val="BC662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0D570A"/>
    <w:multiLevelType w:val="hybridMultilevel"/>
    <w:tmpl w:val="8318B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84A0E39"/>
    <w:multiLevelType w:val="hybridMultilevel"/>
    <w:tmpl w:val="9DC89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D4E7B0A"/>
    <w:multiLevelType w:val="hybridMultilevel"/>
    <w:tmpl w:val="F3DCD81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3EA2264"/>
    <w:multiLevelType w:val="hybridMultilevel"/>
    <w:tmpl w:val="E0247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1E"/>
    <w:rsid w:val="0000128B"/>
    <w:rsid w:val="00004A3A"/>
    <w:rsid w:val="00005B60"/>
    <w:rsid w:val="00007817"/>
    <w:rsid w:val="0001225D"/>
    <w:rsid w:val="00012752"/>
    <w:rsid w:val="00013D76"/>
    <w:rsid w:val="000154DB"/>
    <w:rsid w:val="00016DEC"/>
    <w:rsid w:val="000226F7"/>
    <w:rsid w:val="00024477"/>
    <w:rsid w:val="00026772"/>
    <w:rsid w:val="00026866"/>
    <w:rsid w:val="00027794"/>
    <w:rsid w:val="000307F5"/>
    <w:rsid w:val="00031CC8"/>
    <w:rsid w:val="00036AF7"/>
    <w:rsid w:val="00036DE0"/>
    <w:rsid w:val="000414CC"/>
    <w:rsid w:val="0004186D"/>
    <w:rsid w:val="00042183"/>
    <w:rsid w:val="00042BD0"/>
    <w:rsid w:val="000432A0"/>
    <w:rsid w:val="00044262"/>
    <w:rsid w:val="000479FD"/>
    <w:rsid w:val="0005060B"/>
    <w:rsid w:val="00050942"/>
    <w:rsid w:val="0005169A"/>
    <w:rsid w:val="000578C4"/>
    <w:rsid w:val="0006279F"/>
    <w:rsid w:val="00062C36"/>
    <w:rsid w:val="0006356D"/>
    <w:rsid w:val="00063E58"/>
    <w:rsid w:val="000659E4"/>
    <w:rsid w:val="00067CC2"/>
    <w:rsid w:val="000753DE"/>
    <w:rsid w:val="0007730A"/>
    <w:rsid w:val="000808DE"/>
    <w:rsid w:val="00081FD4"/>
    <w:rsid w:val="00082A63"/>
    <w:rsid w:val="00083EDE"/>
    <w:rsid w:val="00085FBB"/>
    <w:rsid w:val="00092757"/>
    <w:rsid w:val="000A0F66"/>
    <w:rsid w:val="000B51E0"/>
    <w:rsid w:val="000C0AF2"/>
    <w:rsid w:val="000C2A9E"/>
    <w:rsid w:val="000C3DC3"/>
    <w:rsid w:val="000C727D"/>
    <w:rsid w:val="000D025D"/>
    <w:rsid w:val="000D1F83"/>
    <w:rsid w:val="000D4703"/>
    <w:rsid w:val="000D5FB0"/>
    <w:rsid w:val="000D73C3"/>
    <w:rsid w:val="000E4F05"/>
    <w:rsid w:val="000F01A4"/>
    <w:rsid w:val="000F01F3"/>
    <w:rsid w:val="000F1878"/>
    <w:rsid w:val="000F1EC8"/>
    <w:rsid w:val="000F2F9A"/>
    <w:rsid w:val="000F33C8"/>
    <w:rsid w:val="000F3EDA"/>
    <w:rsid w:val="000F79D1"/>
    <w:rsid w:val="0010286E"/>
    <w:rsid w:val="001077DF"/>
    <w:rsid w:val="00116DB6"/>
    <w:rsid w:val="0012204B"/>
    <w:rsid w:val="00123DED"/>
    <w:rsid w:val="0013053D"/>
    <w:rsid w:val="00134729"/>
    <w:rsid w:val="00135A6E"/>
    <w:rsid w:val="00137576"/>
    <w:rsid w:val="00146880"/>
    <w:rsid w:val="0016223B"/>
    <w:rsid w:val="00171949"/>
    <w:rsid w:val="0017321E"/>
    <w:rsid w:val="0017391E"/>
    <w:rsid w:val="001841FA"/>
    <w:rsid w:val="0018789A"/>
    <w:rsid w:val="00187E23"/>
    <w:rsid w:val="00190421"/>
    <w:rsid w:val="001908D0"/>
    <w:rsid w:val="001A4AB8"/>
    <w:rsid w:val="001A4D4F"/>
    <w:rsid w:val="001A7BD5"/>
    <w:rsid w:val="001B22A2"/>
    <w:rsid w:val="001B5E25"/>
    <w:rsid w:val="001E206D"/>
    <w:rsid w:val="001E2C61"/>
    <w:rsid w:val="001E33C5"/>
    <w:rsid w:val="001F08EF"/>
    <w:rsid w:val="001F259D"/>
    <w:rsid w:val="001F50A0"/>
    <w:rsid w:val="00201093"/>
    <w:rsid w:val="00201DC9"/>
    <w:rsid w:val="00207DD4"/>
    <w:rsid w:val="00214601"/>
    <w:rsid w:val="00214D75"/>
    <w:rsid w:val="00216BF5"/>
    <w:rsid w:val="002230D7"/>
    <w:rsid w:val="002323AD"/>
    <w:rsid w:val="00232E15"/>
    <w:rsid w:val="0023300E"/>
    <w:rsid w:val="0023580F"/>
    <w:rsid w:val="002361C4"/>
    <w:rsid w:val="00250E3E"/>
    <w:rsid w:val="00251B81"/>
    <w:rsid w:val="002552B8"/>
    <w:rsid w:val="00260114"/>
    <w:rsid w:val="0026209E"/>
    <w:rsid w:val="002638AB"/>
    <w:rsid w:val="0026622F"/>
    <w:rsid w:val="002708A1"/>
    <w:rsid w:val="002739A6"/>
    <w:rsid w:val="002742B4"/>
    <w:rsid w:val="002744A9"/>
    <w:rsid w:val="0028255A"/>
    <w:rsid w:val="0028473B"/>
    <w:rsid w:val="00291F0D"/>
    <w:rsid w:val="00293486"/>
    <w:rsid w:val="0029520F"/>
    <w:rsid w:val="002A1D00"/>
    <w:rsid w:val="002A6C41"/>
    <w:rsid w:val="002B1744"/>
    <w:rsid w:val="002B17E2"/>
    <w:rsid w:val="002B36C2"/>
    <w:rsid w:val="002B52C3"/>
    <w:rsid w:val="002B5C4F"/>
    <w:rsid w:val="002C0E45"/>
    <w:rsid w:val="002C108D"/>
    <w:rsid w:val="002C2347"/>
    <w:rsid w:val="002C439D"/>
    <w:rsid w:val="002C7B2D"/>
    <w:rsid w:val="002D36AA"/>
    <w:rsid w:val="002D4FC1"/>
    <w:rsid w:val="002D5847"/>
    <w:rsid w:val="002D7273"/>
    <w:rsid w:val="002D7BDD"/>
    <w:rsid w:val="002E5149"/>
    <w:rsid w:val="002E5252"/>
    <w:rsid w:val="002E6CA3"/>
    <w:rsid w:val="002F2828"/>
    <w:rsid w:val="002F4978"/>
    <w:rsid w:val="002F4E3B"/>
    <w:rsid w:val="00300156"/>
    <w:rsid w:val="00300566"/>
    <w:rsid w:val="00302033"/>
    <w:rsid w:val="003024ED"/>
    <w:rsid w:val="003032CA"/>
    <w:rsid w:val="003034F1"/>
    <w:rsid w:val="00304F19"/>
    <w:rsid w:val="00313631"/>
    <w:rsid w:val="003149B3"/>
    <w:rsid w:val="003151FE"/>
    <w:rsid w:val="0032208B"/>
    <w:rsid w:val="00326D61"/>
    <w:rsid w:val="00327402"/>
    <w:rsid w:val="00332BC7"/>
    <w:rsid w:val="00333E5A"/>
    <w:rsid w:val="00343AC7"/>
    <w:rsid w:val="00344DA8"/>
    <w:rsid w:val="00351127"/>
    <w:rsid w:val="0035145E"/>
    <w:rsid w:val="0035157A"/>
    <w:rsid w:val="00353A24"/>
    <w:rsid w:val="0035426F"/>
    <w:rsid w:val="00354A16"/>
    <w:rsid w:val="00357AA6"/>
    <w:rsid w:val="0037494A"/>
    <w:rsid w:val="00384822"/>
    <w:rsid w:val="00397CD3"/>
    <w:rsid w:val="003B103E"/>
    <w:rsid w:val="003B6CBB"/>
    <w:rsid w:val="003C1775"/>
    <w:rsid w:val="003C3080"/>
    <w:rsid w:val="003C40A8"/>
    <w:rsid w:val="003C4269"/>
    <w:rsid w:val="003C4835"/>
    <w:rsid w:val="003C6A59"/>
    <w:rsid w:val="003D156E"/>
    <w:rsid w:val="003D2B70"/>
    <w:rsid w:val="003D5919"/>
    <w:rsid w:val="003E1375"/>
    <w:rsid w:val="003E308B"/>
    <w:rsid w:val="003E461D"/>
    <w:rsid w:val="003E5047"/>
    <w:rsid w:val="003E689B"/>
    <w:rsid w:val="003F0EC1"/>
    <w:rsid w:val="003F5C70"/>
    <w:rsid w:val="003F6539"/>
    <w:rsid w:val="003F65A3"/>
    <w:rsid w:val="00401A92"/>
    <w:rsid w:val="0040537D"/>
    <w:rsid w:val="004107B1"/>
    <w:rsid w:val="00411E9E"/>
    <w:rsid w:val="00411F1D"/>
    <w:rsid w:val="00420D82"/>
    <w:rsid w:val="0042561A"/>
    <w:rsid w:val="00434C9E"/>
    <w:rsid w:val="00435C92"/>
    <w:rsid w:val="004410A8"/>
    <w:rsid w:val="004442D3"/>
    <w:rsid w:val="0044491A"/>
    <w:rsid w:val="004450FD"/>
    <w:rsid w:val="004459E5"/>
    <w:rsid w:val="00446349"/>
    <w:rsid w:val="00451ABB"/>
    <w:rsid w:val="00456106"/>
    <w:rsid w:val="00456D0C"/>
    <w:rsid w:val="00460BD1"/>
    <w:rsid w:val="00462B02"/>
    <w:rsid w:val="004646F0"/>
    <w:rsid w:val="004657E9"/>
    <w:rsid w:val="00466C66"/>
    <w:rsid w:val="00472CE9"/>
    <w:rsid w:val="00476A86"/>
    <w:rsid w:val="00476C3B"/>
    <w:rsid w:val="00493324"/>
    <w:rsid w:val="004935BB"/>
    <w:rsid w:val="004A014E"/>
    <w:rsid w:val="004A12CF"/>
    <w:rsid w:val="004A3AF6"/>
    <w:rsid w:val="004B0A40"/>
    <w:rsid w:val="004B7AFD"/>
    <w:rsid w:val="004B7FFB"/>
    <w:rsid w:val="004C451F"/>
    <w:rsid w:val="004C6F1F"/>
    <w:rsid w:val="004C79C8"/>
    <w:rsid w:val="004D1793"/>
    <w:rsid w:val="004D2B7D"/>
    <w:rsid w:val="004D4E34"/>
    <w:rsid w:val="004D5892"/>
    <w:rsid w:val="004D6D54"/>
    <w:rsid w:val="004E1420"/>
    <w:rsid w:val="004E43BA"/>
    <w:rsid w:val="004E5AE7"/>
    <w:rsid w:val="004F02A0"/>
    <w:rsid w:val="004F4506"/>
    <w:rsid w:val="004F79F5"/>
    <w:rsid w:val="005010A2"/>
    <w:rsid w:val="00501744"/>
    <w:rsid w:val="005024D6"/>
    <w:rsid w:val="00503F74"/>
    <w:rsid w:val="00503FEB"/>
    <w:rsid w:val="0050662C"/>
    <w:rsid w:val="00507332"/>
    <w:rsid w:val="00510A6C"/>
    <w:rsid w:val="0051262B"/>
    <w:rsid w:val="0051327C"/>
    <w:rsid w:val="00514D3C"/>
    <w:rsid w:val="005161E2"/>
    <w:rsid w:val="00521588"/>
    <w:rsid w:val="00521B69"/>
    <w:rsid w:val="0052343C"/>
    <w:rsid w:val="0052463A"/>
    <w:rsid w:val="00527A85"/>
    <w:rsid w:val="005364DA"/>
    <w:rsid w:val="00544465"/>
    <w:rsid w:val="00544E3D"/>
    <w:rsid w:val="005467D8"/>
    <w:rsid w:val="00546B07"/>
    <w:rsid w:val="00547025"/>
    <w:rsid w:val="005505C7"/>
    <w:rsid w:val="00552CF3"/>
    <w:rsid w:val="0055427F"/>
    <w:rsid w:val="00557F6F"/>
    <w:rsid w:val="0056098C"/>
    <w:rsid w:val="00561B73"/>
    <w:rsid w:val="00561C32"/>
    <w:rsid w:val="0056593B"/>
    <w:rsid w:val="00570503"/>
    <w:rsid w:val="00572385"/>
    <w:rsid w:val="00574946"/>
    <w:rsid w:val="00583F8B"/>
    <w:rsid w:val="0058722C"/>
    <w:rsid w:val="00591786"/>
    <w:rsid w:val="00595177"/>
    <w:rsid w:val="00596FAF"/>
    <w:rsid w:val="005A2F4F"/>
    <w:rsid w:val="005A4671"/>
    <w:rsid w:val="005C0EC3"/>
    <w:rsid w:val="005C1592"/>
    <w:rsid w:val="005C4583"/>
    <w:rsid w:val="005C6CA5"/>
    <w:rsid w:val="005C7357"/>
    <w:rsid w:val="005D3823"/>
    <w:rsid w:val="005E34F9"/>
    <w:rsid w:val="005E6A54"/>
    <w:rsid w:val="005E726E"/>
    <w:rsid w:val="005F1746"/>
    <w:rsid w:val="005F3A4D"/>
    <w:rsid w:val="005F63DE"/>
    <w:rsid w:val="00601807"/>
    <w:rsid w:val="0060405E"/>
    <w:rsid w:val="00611653"/>
    <w:rsid w:val="00612EBD"/>
    <w:rsid w:val="006130DB"/>
    <w:rsid w:val="00614F7B"/>
    <w:rsid w:val="00615CFD"/>
    <w:rsid w:val="00617EC5"/>
    <w:rsid w:val="006213C4"/>
    <w:rsid w:val="006226B0"/>
    <w:rsid w:val="006230E2"/>
    <w:rsid w:val="00623227"/>
    <w:rsid w:val="006269A0"/>
    <w:rsid w:val="0063288A"/>
    <w:rsid w:val="006339B6"/>
    <w:rsid w:val="00633E4D"/>
    <w:rsid w:val="0063722C"/>
    <w:rsid w:val="006406F1"/>
    <w:rsid w:val="00641284"/>
    <w:rsid w:val="00641341"/>
    <w:rsid w:val="0065423D"/>
    <w:rsid w:val="00660299"/>
    <w:rsid w:val="0066473B"/>
    <w:rsid w:val="00671242"/>
    <w:rsid w:val="0068012D"/>
    <w:rsid w:val="006803AA"/>
    <w:rsid w:val="00687164"/>
    <w:rsid w:val="00687957"/>
    <w:rsid w:val="00687A1D"/>
    <w:rsid w:val="00690DD5"/>
    <w:rsid w:val="00691B39"/>
    <w:rsid w:val="006958AE"/>
    <w:rsid w:val="006B023F"/>
    <w:rsid w:val="006B4DF8"/>
    <w:rsid w:val="006B53C3"/>
    <w:rsid w:val="006B6272"/>
    <w:rsid w:val="006C3826"/>
    <w:rsid w:val="006C7C67"/>
    <w:rsid w:val="006D15AE"/>
    <w:rsid w:val="006D1C0B"/>
    <w:rsid w:val="006D39E6"/>
    <w:rsid w:val="006E206D"/>
    <w:rsid w:val="006E79DD"/>
    <w:rsid w:val="006F036E"/>
    <w:rsid w:val="006F6CDA"/>
    <w:rsid w:val="0070050D"/>
    <w:rsid w:val="0070144C"/>
    <w:rsid w:val="00703825"/>
    <w:rsid w:val="0070639B"/>
    <w:rsid w:val="007068AD"/>
    <w:rsid w:val="00712F0F"/>
    <w:rsid w:val="00714495"/>
    <w:rsid w:val="0071498E"/>
    <w:rsid w:val="00715C9C"/>
    <w:rsid w:val="00720AC7"/>
    <w:rsid w:val="00722BB7"/>
    <w:rsid w:val="0072462C"/>
    <w:rsid w:val="00725369"/>
    <w:rsid w:val="0073107C"/>
    <w:rsid w:val="00736081"/>
    <w:rsid w:val="007360C5"/>
    <w:rsid w:val="00737E85"/>
    <w:rsid w:val="00744048"/>
    <w:rsid w:val="007454E8"/>
    <w:rsid w:val="00746ECE"/>
    <w:rsid w:val="0075081B"/>
    <w:rsid w:val="0075188F"/>
    <w:rsid w:val="0075228F"/>
    <w:rsid w:val="00752880"/>
    <w:rsid w:val="00753479"/>
    <w:rsid w:val="0075507D"/>
    <w:rsid w:val="007567C7"/>
    <w:rsid w:val="00757C81"/>
    <w:rsid w:val="00762D0B"/>
    <w:rsid w:val="00763122"/>
    <w:rsid w:val="00767027"/>
    <w:rsid w:val="0077190A"/>
    <w:rsid w:val="00776EE7"/>
    <w:rsid w:val="007770D8"/>
    <w:rsid w:val="007803FA"/>
    <w:rsid w:val="007812D5"/>
    <w:rsid w:val="0078492F"/>
    <w:rsid w:val="00784F28"/>
    <w:rsid w:val="00785FE8"/>
    <w:rsid w:val="0078702A"/>
    <w:rsid w:val="00791F5F"/>
    <w:rsid w:val="00797BD6"/>
    <w:rsid w:val="007A1C24"/>
    <w:rsid w:val="007A5448"/>
    <w:rsid w:val="007A555F"/>
    <w:rsid w:val="007A5675"/>
    <w:rsid w:val="007A66F3"/>
    <w:rsid w:val="007B152A"/>
    <w:rsid w:val="007B1B6F"/>
    <w:rsid w:val="007B259E"/>
    <w:rsid w:val="007B7F7B"/>
    <w:rsid w:val="007C1AD4"/>
    <w:rsid w:val="007C6429"/>
    <w:rsid w:val="007D30C1"/>
    <w:rsid w:val="007D66E9"/>
    <w:rsid w:val="007E0511"/>
    <w:rsid w:val="007E0F79"/>
    <w:rsid w:val="007F218F"/>
    <w:rsid w:val="007F4BC4"/>
    <w:rsid w:val="007F72EF"/>
    <w:rsid w:val="0080027E"/>
    <w:rsid w:val="00800A17"/>
    <w:rsid w:val="0080234E"/>
    <w:rsid w:val="008027CC"/>
    <w:rsid w:val="00806764"/>
    <w:rsid w:val="008071CB"/>
    <w:rsid w:val="00811F50"/>
    <w:rsid w:val="00813D79"/>
    <w:rsid w:val="00832B91"/>
    <w:rsid w:val="00833015"/>
    <w:rsid w:val="00844990"/>
    <w:rsid w:val="008452AD"/>
    <w:rsid w:val="008472A3"/>
    <w:rsid w:val="00852110"/>
    <w:rsid w:val="0085253F"/>
    <w:rsid w:val="008538BA"/>
    <w:rsid w:val="00855416"/>
    <w:rsid w:val="00862D69"/>
    <w:rsid w:val="00862DC0"/>
    <w:rsid w:val="008631C0"/>
    <w:rsid w:val="00863503"/>
    <w:rsid w:val="00864355"/>
    <w:rsid w:val="00866553"/>
    <w:rsid w:val="00871D0E"/>
    <w:rsid w:val="00871DE5"/>
    <w:rsid w:val="00873703"/>
    <w:rsid w:val="008850E4"/>
    <w:rsid w:val="008919EE"/>
    <w:rsid w:val="00892CA9"/>
    <w:rsid w:val="0089585A"/>
    <w:rsid w:val="008A0A6F"/>
    <w:rsid w:val="008A3502"/>
    <w:rsid w:val="008A42A6"/>
    <w:rsid w:val="008A5D4A"/>
    <w:rsid w:val="008B0BC5"/>
    <w:rsid w:val="008B0ED7"/>
    <w:rsid w:val="008B6508"/>
    <w:rsid w:val="008C3F2A"/>
    <w:rsid w:val="008C4432"/>
    <w:rsid w:val="008D0EF1"/>
    <w:rsid w:val="008D1492"/>
    <w:rsid w:val="008D181D"/>
    <w:rsid w:val="008D37E6"/>
    <w:rsid w:val="008D633E"/>
    <w:rsid w:val="008E21C7"/>
    <w:rsid w:val="008E73E2"/>
    <w:rsid w:val="008F1A24"/>
    <w:rsid w:val="008F1AFF"/>
    <w:rsid w:val="00900E11"/>
    <w:rsid w:val="009023C5"/>
    <w:rsid w:val="0090717E"/>
    <w:rsid w:val="009148FD"/>
    <w:rsid w:val="00915C6E"/>
    <w:rsid w:val="00916B50"/>
    <w:rsid w:val="0091752A"/>
    <w:rsid w:val="009212EF"/>
    <w:rsid w:val="00922056"/>
    <w:rsid w:val="00926485"/>
    <w:rsid w:val="00930FB1"/>
    <w:rsid w:val="00932C8A"/>
    <w:rsid w:val="009421D0"/>
    <w:rsid w:val="00944410"/>
    <w:rsid w:val="00946A2D"/>
    <w:rsid w:val="009470B9"/>
    <w:rsid w:val="00952735"/>
    <w:rsid w:val="00954478"/>
    <w:rsid w:val="00954589"/>
    <w:rsid w:val="00955BBE"/>
    <w:rsid w:val="00956441"/>
    <w:rsid w:val="0096189B"/>
    <w:rsid w:val="00962F11"/>
    <w:rsid w:val="00963C52"/>
    <w:rsid w:val="0096513C"/>
    <w:rsid w:val="00966C93"/>
    <w:rsid w:val="00970E45"/>
    <w:rsid w:val="00970F3B"/>
    <w:rsid w:val="009723AB"/>
    <w:rsid w:val="00974DDF"/>
    <w:rsid w:val="0097563A"/>
    <w:rsid w:val="00977610"/>
    <w:rsid w:val="00981898"/>
    <w:rsid w:val="00985A64"/>
    <w:rsid w:val="00991EB5"/>
    <w:rsid w:val="009971DB"/>
    <w:rsid w:val="009A1DCD"/>
    <w:rsid w:val="009A608C"/>
    <w:rsid w:val="009B04E4"/>
    <w:rsid w:val="009B3FF6"/>
    <w:rsid w:val="009B6D71"/>
    <w:rsid w:val="009C1D32"/>
    <w:rsid w:val="009C3A91"/>
    <w:rsid w:val="009C3E2F"/>
    <w:rsid w:val="009D2413"/>
    <w:rsid w:val="009D73B1"/>
    <w:rsid w:val="009D7723"/>
    <w:rsid w:val="009D7739"/>
    <w:rsid w:val="009E1356"/>
    <w:rsid w:val="009E14A5"/>
    <w:rsid w:val="009E3168"/>
    <w:rsid w:val="009F0F77"/>
    <w:rsid w:val="00A05F12"/>
    <w:rsid w:val="00A0624F"/>
    <w:rsid w:val="00A15516"/>
    <w:rsid w:val="00A2122E"/>
    <w:rsid w:val="00A246C9"/>
    <w:rsid w:val="00A24E0A"/>
    <w:rsid w:val="00A314C2"/>
    <w:rsid w:val="00A33BC4"/>
    <w:rsid w:val="00A379B2"/>
    <w:rsid w:val="00A37CA6"/>
    <w:rsid w:val="00A37F52"/>
    <w:rsid w:val="00A4254B"/>
    <w:rsid w:val="00A44A05"/>
    <w:rsid w:val="00A46623"/>
    <w:rsid w:val="00A5065E"/>
    <w:rsid w:val="00A517CE"/>
    <w:rsid w:val="00A51E9A"/>
    <w:rsid w:val="00A52B17"/>
    <w:rsid w:val="00A55A2F"/>
    <w:rsid w:val="00A65A7E"/>
    <w:rsid w:val="00A70D22"/>
    <w:rsid w:val="00A74FFF"/>
    <w:rsid w:val="00A7582A"/>
    <w:rsid w:val="00A75E9F"/>
    <w:rsid w:val="00A910A8"/>
    <w:rsid w:val="00A928CE"/>
    <w:rsid w:val="00A9796D"/>
    <w:rsid w:val="00AA02DE"/>
    <w:rsid w:val="00AA2590"/>
    <w:rsid w:val="00AA46D4"/>
    <w:rsid w:val="00AA6D24"/>
    <w:rsid w:val="00AC14DF"/>
    <w:rsid w:val="00AC1DA0"/>
    <w:rsid w:val="00AC2C0F"/>
    <w:rsid w:val="00AD0BAF"/>
    <w:rsid w:val="00AD23EF"/>
    <w:rsid w:val="00AD26AE"/>
    <w:rsid w:val="00AD6A60"/>
    <w:rsid w:val="00AD6B1C"/>
    <w:rsid w:val="00AE1119"/>
    <w:rsid w:val="00AE3115"/>
    <w:rsid w:val="00AE414E"/>
    <w:rsid w:val="00AF3619"/>
    <w:rsid w:val="00AF4EB4"/>
    <w:rsid w:val="00AF506D"/>
    <w:rsid w:val="00AF6ED5"/>
    <w:rsid w:val="00AF7BA8"/>
    <w:rsid w:val="00B01B8E"/>
    <w:rsid w:val="00B01D1C"/>
    <w:rsid w:val="00B05289"/>
    <w:rsid w:val="00B10796"/>
    <w:rsid w:val="00B1121C"/>
    <w:rsid w:val="00B120C0"/>
    <w:rsid w:val="00B12C85"/>
    <w:rsid w:val="00B12D84"/>
    <w:rsid w:val="00B140F2"/>
    <w:rsid w:val="00B2319E"/>
    <w:rsid w:val="00B254C8"/>
    <w:rsid w:val="00B255CE"/>
    <w:rsid w:val="00B26BA0"/>
    <w:rsid w:val="00B2717B"/>
    <w:rsid w:val="00B32F2F"/>
    <w:rsid w:val="00B373D0"/>
    <w:rsid w:val="00B40256"/>
    <w:rsid w:val="00B43B36"/>
    <w:rsid w:val="00B44A36"/>
    <w:rsid w:val="00B45E20"/>
    <w:rsid w:val="00B56A7E"/>
    <w:rsid w:val="00B57708"/>
    <w:rsid w:val="00B606FB"/>
    <w:rsid w:val="00B61597"/>
    <w:rsid w:val="00B6216A"/>
    <w:rsid w:val="00B640A6"/>
    <w:rsid w:val="00B6632F"/>
    <w:rsid w:val="00B716A9"/>
    <w:rsid w:val="00B72A42"/>
    <w:rsid w:val="00B75599"/>
    <w:rsid w:val="00B84AE7"/>
    <w:rsid w:val="00B8639B"/>
    <w:rsid w:val="00B869CA"/>
    <w:rsid w:val="00B86C73"/>
    <w:rsid w:val="00B9057F"/>
    <w:rsid w:val="00B97C3A"/>
    <w:rsid w:val="00BA1638"/>
    <w:rsid w:val="00BA392B"/>
    <w:rsid w:val="00BA602F"/>
    <w:rsid w:val="00BB09F8"/>
    <w:rsid w:val="00BB196D"/>
    <w:rsid w:val="00BB2EE4"/>
    <w:rsid w:val="00BC3206"/>
    <w:rsid w:val="00BC44CD"/>
    <w:rsid w:val="00BD3711"/>
    <w:rsid w:val="00BD7BFA"/>
    <w:rsid w:val="00BE0E33"/>
    <w:rsid w:val="00BE1AE2"/>
    <w:rsid w:val="00BE21AB"/>
    <w:rsid w:val="00BE4941"/>
    <w:rsid w:val="00BE7825"/>
    <w:rsid w:val="00BE7BF4"/>
    <w:rsid w:val="00BF4B70"/>
    <w:rsid w:val="00C021DE"/>
    <w:rsid w:val="00C025CA"/>
    <w:rsid w:val="00C1098E"/>
    <w:rsid w:val="00C10FD0"/>
    <w:rsid w:val="00C146C0"/>
    <w:rsid w:val="00C15C62"/>
    <w:rsid w:val="00C16FC5"/>
    <w:rsid w:val="00C21554"/>
    <w:rsid w:val="00C223E4"/>
    <w:rsid w:val="00C24D08"/>
    <w:rsid w:val="00C400E1"/>
    <w:rsid w:val="00C436B9"/>
    <w:rsid w:val="00C44D31"/>
    <w:rsid w:val="00C53EA1"/>
    <w:rsid w:val="00C54CB5"/>
    <w:rsid w:val="00C65058"/>
    <w:rsid w:val="00C741D8"/>
    <w:rsid w:val="00C7792D"/>
    <w:rsid w:val="00C77CAB"/>
    <w:rsid w:val="00C836DA"/>
    <w:rsid w:val="00C86108"/>
    <w:rsid w:val="00C90671"/>
    <w:rsid w:val="00C91920"/>
    <w:rsid w:val="00CA24F2"/>
    <w:rsid w:val="00CA77B2"/>
    <w:rsid w:val="00CA7BFA"/>
    <w:rsid w:val="00CB0549"/>
    <w:rsid w:val="00CB0A00"/>
    <w:rsid w:val="00CB16C5"/>
    <w:rsid w:val="00CB1BF1"/>
    <w:rsid w:val="00CB586E"/>
    <w:rsid w:val="00CC493D"/>
    <w:rsid w:val="00CC61AD"/>
    <w:rsid w:val="00CD1639"/>
    <w:rsid w:val="00CD3F6B"/>
    <w:rsid w:val="00CE18A9"/>
    <w:rsid w:val="00CE2F8C"/>
    <w:rsid w:val="00CE7E28"/>
    <w:rsid w:val="00CF4F46"/>
    <w:rsid w:val="00CF61CB"/>
    <w:rsid w:val="00CF6B8B"/>
    <w:rsid w:val="00D0144C"/>
    <w:rsid w:val="00D03DF6"/>
    <w:rsid w:val="00D0684E"/>
    <w:rsid w:val="00D13F75"/>
    <w:rsid w:val="00D21249"/>
    <w:rsid w:val="00D21510"/>
    <w:rsid w:val="00D229F8"/>
    <w:rsid w:val="00D25F9E"/>
    <w:rsid w:val="00D2760B"/>
    <w:rsid w:val="00D33C4D"/>
    <w:rsid w:val="00D41F51"/>
    <w:rsid w:val="00D43716"/>
    <w:rsid w:val="00D45123"/>
    <w:rsid w:val="00D5760A"/>
    <w:rsid w:val="00D60EDB"/>
    <w:rsid w:val="00D61797"/>
    <w:rsid w:val="00D61BEA"/>
    <w:rsid w:val="00D64238"/>
    <w:rsid w:val="00D64C27"/>
    <w:rsid w:val="00D64F57"/>
    <w:rsid w:val="00D719CB"/>
    <w:rsid w:val="00D7539C"/>
    <w:rsid w:val="00D80170"/>
    <w:rsid w:val="00D80AC3"/>
    <w:rsid w:val="00D910B6"/>
    <w:rsid w:val="00D919BB"/>
    <w:rsid w:val="00D9251F"/>
    <w:rsid w:val="00D93859"/>
    <w:rsid w:val="00D94C10"/>
    <w:rsid w:val="00DA16BF"/>
    <w:rsid w:val="00DA29D6"/>
    <w:rsid w:val="00DA2AAA"/>
    <w:rsid w:val="00DB162D"/>
    <w:rsid w:val="00DB47BC"/>
    <w:rsid w:val="00DC0E3B"/>
    <w:rsid w:val="00DC18B0"/>
    <w:rsid w:val="00DC1EDA"/>
    <w:rsid w:val="00DC6579"/>
    <w:rsid w:val="00DC6FA2"/>
    <w:rsid w:val="00DC7ED3"/>
    <w:rsid w:val="00DD1339"/>
    <w:rsid w:val="00DD2286"/>
    <w:rsid w:val="00DD5377"/>
    <w:rsid w:val="00DE2668"/>
    <w:rsid w:val="00DE3A44"/>
    <w:rsid w:val="00DE480A"/>
    <w:rsid w:val="00DE5AC0"/>
    <w:rsid w:val="00DE666F"/>
    <w:rsid w:val="00DF0A42"/>
    <w:rsid w:val="00E0184F"/>
    <w:rsid w:val="00E03613"/>
    <w:rsid w:val="00E046B6"/>
    <w:rsid w:val="00E07E2C"/>
    <w:rsid w:val="00E127AE"/>
    <w:rsid w:val="00E128C5"/>
    <w:rsid w:val="00E143B3"/>
    <w:rsid w:val="00E1443A"/>
    <w:rsid w:val="00E21A5C"/>
    <w:rsid w:val="00E23583"/>
    <w:rsid w:val="00E250E3"/>
    <w:rsid w:val="00E26F14"/>
    <w:rsid w:val="00E333C8"/>
    <w:rsid w:val="00E34254"/>
    <w:rsid w:val="00E4063D"/>
    <w:rsid w:val="00E41E50"/>
    <w:rsid w:val="00E43C6C"/>
    <w:rsid w:val="00E4458E"/>
    <w:rsid w:val="00E45C1F"/>
    <w:rsid w:val="00E56BA9"/>
    <w:rsid w:val="00E6306C"/>
    <w:rsid w:val="00E674C1"/>
    <w:rsid w:val="00E72B06"/>
    <w:rsid w:val="00E82763"/>
    <w:rsid w:val="00E83E6E"/>
    <w:rsid w:val="00E8487D"/>
    <w:rsid w:val="00E862E5"/>
    <w:rsid w:val="00E870F7"/>
    <w:rsid w:val="00E90223"/>
    <w:rsid w:val="00E90DAD"/>
    <w:rsid w:val="00EA1F99"/>
    <w:rsid w:val="00EA48A9"/>
    <w:rsid w:val="00EA6DDF"/>
    <w:rsid w:val="00EB04BC"/>
    <w:rsid w:val="00EB0E78"/>
    <w:rsid w:val="00EB1BC3"/>
    <w:rsid w:val="00EB2905"/>
    <w:rsid w:val="00EB687E"/>
    <w:rsid w:val="00EB7213"/>
    <w:rsid w:val="00EB763D"/>
    <w:rsid w:val="00EB7705"/>
    <w:rsid w:val="00EC1233"/>
    <w:rsid w:val="00EC4147"/>
    <w:rsid w:val="00ED5483"/>
    <w:rsid w:val="00ED7148"/>
    <w:rsid w:val="00EE5090"/>
    <w:rsid w:val="00EE75B2"/>
    <w:rsid w:val="00EF3050"/>
    <w:rsid w:val="00F11757"/>
    <w:rsid w:val="00F12C07"/>
    <w:rsid w:val="00F1359A"/>
    <w:rsid w:val="00F144D7"/>
    <w:rsid w:val="00F150DF"/>
    <w:rsid w:val="00F15A7A"/>
    <w:rsid w:val="00F20B41"/>
    <w:rsid w:val="00F25CEA"/>
    <w:rsid w:val="00F31E19"/>
    <w:rsid w:val="00F371CA"/>
    <w:rsid w:val="00F41921"/>
    <w:rsid w:val="00F4326C"/>
    <w:rsid w:val="00F448AA"/>
    <w:rsid w:val="00F50959"/>
    <w:rsid w:val="00F5248A"/>
    <w:rsid w:val="00F540CA"/>
    <w:rsid w:val="00F546E4"/>
    <w:rsid w:val="00F60542"/>
    <w:rsid w:val="00F66E0B"/>
    <w:rsid w:val="00F6749B"/>
    <w:rsid w:val="00F70B6D"/>
    <w:rsid w:val="00F7133C"/>
    <w:rsid w:val="00F713C0"/>
    <w:rsid w:val="00F821DF"/>
    <w:rsid w:val="00F87211"/>
    <w:rsid w:val="00F90C5A"/>
    <w:rsid w:val="00F90DE4"/>
    <w:rsid w:val="00F927EA"/>
    <w:rsid w:val="00F955CC"/>
    <w:rsid w:val="00FA6FA7"/>
    <w:rsid w:val="00FB35E2"/>
    <w:rsid w:val="00FB69C0"/>
    <w:rsid w:val="00FB6FF8"/>
    <w:rsid w:val="00FC5A03"/>
    <w:rsid w:val="00FD1184"/>
    <w:rsid w:val="00FD1389"/>
    <w:rsid w:val="00FE2F8C"/>
    <w:rsid w:val="00FE39EF"/>
    <w:rsid w:val="00FF009E"/>
    <w:rsid w:val="00FF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9BA7"/>
  <w15:docId w15:val="{E71EFF17-6F0C-45DB-8C3F-120FF279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9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5E2"/>
    <w:rPr>
      <w:rFonts w:ascii="Tahoma" w:hAnsi="Tahoma" w:cs="Tahoma"/>
      <w:sz w:val="16"/>
      <w:szCs w:val="16"/>
    </w:rPr>
  </w:style>
  <w:style w:type="character" w:customStyle="1" w:styleId="a4">
    <w:name w:val="Текст выноски Знак"/>
    <w:basedOn w:val="a0"/>
    <w:link w:val="a3"/>
    <w:uiPriority w:val="99"/>
    <w:semiHidden/>
    <w:rsid w:val="00FB35E2"/>
    <w:rPr>
      <w:rFonts w:ascii="Tahoma" w:eastAsia="Times New Roman" w:hAnsi="Tahoma" w:cs="Tahoma"/>
      <w:sz w:val="16"/>
      <w:szCs w:val="16"/>
      <w:lang w:eastAsia="ru-RU"/>
    </w:rPr>
  </w:style>
  <w:style w:type="table" w:styleId="a5">
    <w:name w:val="Table Grid"/>
    <w:basedOn w:val="a1"/>
    <w:uiPriority w:val="59"/>
    <w:rsid w:val="00BC44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339B6"/>
    <w:pPr>
      <w:ind w:left="720"/>
      <w:contextualSpacing/>
    </w:pPr>
  </w:style>
  <w:style w:type="table" w:customStyle="1" w:styleId="1">
    <w:name w:val="Сетка таблицы1"/>
    <w:basedOn w:val="a1"/>
    <w:next w:val="a5"/>
    <w:uiPriority w:val="59"/>
    <w:rsid w:val="0089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C3DC3"/>
    <w:pPr>
      <w:tabs>
        <w:tab w:val="center" w:pos="4677"/>
        <w:tab w:val="right" w:pos="9355"/>
      </w:tabs>
    </w:pPr>
    <w:rPr>
      <w:sz w:val="20"/>
      <w:szCs w:val="20"/>
    </w:rPr>
  </w:style>
  <w:style w:type="character" w:customStyle="1" w:styleId="a8">
    <w:name w:val="Верхний колонтитул Знак"/>
    <w:basedOn w:val="a0"/>
    <w:link w:val="a7"/>
    <w:uiPriority w:val="99"/>
    <w:rsid w:val="000C3DC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C3DC3"/>
    <w:pPr>
      <w:tabs>
        <w:tab w:val="center" w:pos="4677"/>
        <w:tab w:val="right" w:pos="9355"/>
      </w:tabs>
    </w:pPr>
  </w:style>
  <w:style w:type="character" w:customStyle="1" w:styleId="aa">
    <w:name w:val="Нижний колонтитул Знак"/>
    <w:basedOn w:val="a0"/>
    <w:link w:val="a9"/>
    <w:uiPriority w:val="99"/>
    <w:rsid w:val="000C3D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83120">
      <w:bodyDiv w:val="1"/>
      <w:marLeft w:val="0"/>
      <w:marRight w:val="0"/>
      <w:marTop w:val="0"/>
      <w:marBottom w:val="0"/>
      <w:divBdr>
        <w:top w:val="none" w:sz="0" w:space="0" w:color="auto"/>
        <w:left w:val="none" w:sz="0" w:space="0" w:color="auto"/>
        <w:bottom w:val="none" w:sz="0" w:space="0" w:color="auto"/>
        <w:right w:val="none" w:sz="0" w:space="0" w:color="auto"/>
      </w:divBdr>
    </w:div>
    <w:div w:id="708333316">
      <w:bodyDiv w:val="1"/>
      <w:marLeft w:val="0"/>
      <w:marRight w:val="0"/>
      <w:marTop w:val="0"/>
      <w:marBottom w:val="0"/>
      <w:divBdr>
        <w:top w:val="none" w:sz="0" w:space="0" w:color="auto"/>
        <w:left w:val="none" w:sz="0" w:space="0" w:color="auto"/>
        <w:bottom w:val="none" w:sz="0" w:space="0" w:color="auto"/>
        <w:right w:val="none" w:sz="0" w:space="0" w:color="auto"/>
      </w:divBdr>
    </w:div>
    <w:div w:id="812794690">
      <w:bodyDiv w:val="1"/>
      <w:marLeft w:val="0"/>
      <w:marRight w:val="0"/>
      <w:marTop w:val="0"/>
      <w:marBottom w:val="0"/>
      <w:divBdr>
        <w:top w:val="none" w:sz="0" w:space="0" w:color="auto"/>
        <w:left w:val="none" w:sz="0" w:space="0" w:color="auto"/>
        <w:bottom w:val="none" w:sz="0" w:space="0" w:color="auto"/>
        <w:right w:val="none" w:sz="0" w:space="0" w:color="auto"/>
      </w:divBdr>
    </w:div>
    <w:div w:id="13268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3C6CF-5EDE-44F5-8CA4-55DF9D21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6182</Words>
  <Characters>35242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 Элла Сергеевна</dc:creator>
  <cp:lastModifiedBy>Иванова Елена Николаевна</cp:lastModifiedBy>
  <cp:revision>3</cp:revision>
  <cp:lastPrinted>2024-04-23T06:48:00Z</cp:lastPrinted>
  <dcterms:created xsi:type="dcterms:W3CDTF">2024-04-24T10:21:00Z</dcterms:created>
  <dcterms:modified xsi:type="dcterms:W3CDTF">2024-04-24T10:40:00Z</dcterms:modified>
</cp:coreProperties>
</file>