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FD" w:rsidRDefault="002374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74FD" w:rsidRDefault="002374FD">
      <w:pPr>
        <w:pStyle w:val="ConsPlusNormal"/>
        <w:jc w:val="both"/>
        <w:outlineLvl w:val="0"/>
      </w:pPr>
    </w:p>
    <w:p w:rsidR="002374FD" w:rsidRDefault="002374FD">
      <w:pPr>
        <w:pStyle w:val="ConsPlusTitle"/>
        <w:jc w:val="center"/>
        <w:outlineLvl w:val="0"/>
      </w:pPr>
      <w:r>
        <w:t>ДУМА ГОРОДА КОГАЛЫМА</w:t>
      </w:r>
    </w:p>
    <w:p w:rsidR="002374FD" w:rsidRDefault="002374FD">
      <w:pPr>
        <w:pStyle w:val="ConsPlusTitle"/>
        <w:jc w:val="center"/>
      </w:pPr>
    </w:p>
    <w:p w:rsidR="002374FD" w:rsidRDefault="002374FD">
      <w:pPr>
        <w:pStyle w:val="ConsPlusTitle"/>
        <w:jc w:val="center"/>
      </w:pPr>
      <w:r>
        <w:t>РЕШЕНИЕ</w:t>
      </w:r>
    </w:p>
    <w:p w:rsidR="002374FD" w:rsidRDefault="002374FD">
      <w:pPr>
        <w:pStyle w:val="ConsPlusTitle"/>
        <w:jc w:val="center"/>
      </w:pPr>
      <w:r>
        <w:t>от 11 марта 2012 г. N 125-ГД</w:t>
      </w:r>
    </w:p>
    <w:p w:rsidR="002374FD" w:rsidRDefault="002374FD">
      <w:pPr>
        <w:pStyle w:val="ConsPlusTitle"/>
        <w:jc w:val="center"/>
      </w:pPr>
    </w:p>
    <w:p w:rsidR="002374FD" w:rsidRDefault="002374FD">
      <w:pPr>
        <w:pStyle w:val="ConsPlusTitle"/>
        <w:jc w:val="center"/>
      </w:pPr>
      <w:r>
        <w:t>ОБ УТВЕРЖДЕНИИ ПОЛОЖЕНИЯ О ПРОВЕДЕНИИ ВНЕШНЕЙ ПРОВЕРКИ</w:t>
      </w:r>
    </w:p>
    <w:p w:rsidR="002374FD" w:rsidRDefault="002374FD">
      <w:pPr>
        <w:pStyle w:val="ConsPlusTitle"/>
        <w:jc w:val="center"/>
      </w:pPr>
      <w:r>
        <w:t>ГОДОВОГО ОТЧЕТА ОБ ИСПОЛНЕНИИ БЮДЖЕТА ГОРОДА КОГАЛЫМА</w:t>
      </w:r>
    </w:p>
    <w:p w:rsidR="002374FD" w:rsidRDefault="002374FD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2374F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4FD" w:rsidRDefault="002374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4FD" w:rsidRDefault="002374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Когалыма от 24.12.2013 </w:t>
            </w:r>
            <w:hyperlink r:id="rId6" w:history="1">
              <w:r>
                <w:rPr>
                  <w:color w:val="0000FF"/>
                </w:rPr>
                <w:t>N 364-ГД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4FD" w:rsidRDefault="0023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7" w:history="1">
              <w:r>
                <w:rPr>
                  <w:color w:val="0000FF"/>
                </w:rPr>
                <w:t>N 670-ГД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0" w:history="1">
        <w:r>
          <w:rPr>
            <w:color w:val="0000FF"/>
          </w:rPr>
          <w:t>статьей 29</w:t>
        </w:r>
      </w:hyperlink>
      <w:r>
        <w:t xml:space="preserve"> Устава города Когалыма, Дума города Когалыма решила: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проведении внешней проверки годового отчета об исполнении бюджета города Когалыма (далее - Положение) согласно приложению.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2. Опубликовать решение и </w:t>
      </w:r>
      <w:hyperlink w:anchor="P28" w:history="1">
        <w:r>
          <w:rPr>
            <w:color w:val="0000FF"/>
          </w:rPr>
          <w:t>приложение</w:t>
        </w:r>
      </w:hyperlink>
      <w:r>
        <w:t xml:space="preserve"> к нему в газете "Когалымский вестник".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jc w:val="right"/>
      </w:pPr>
      <w:r>
        <w:t>Глава города Когалыма</w:t>
      </w:r>
    </w:p>
    <w:p w:rsidR="002374FD" w:rsidRDefault="002374FD">
      <w:pPr>
        <w:pStyle w:val="ConsPlusNormal"/>
        <w:jc w:val="right"/>
      </w:pPr>
      <w:r>
        <w:t>С.Ф.КАКОТКИН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jc w:val="right"/>
        <w:outlineLvl w:val="0"/>
      </w:pPr>
      <w:r>
        <w:t>Приложение</w:t>
      </w:r>
    </w:p>
    <w:p w:rsidR="002374FD" w:rsidRDefault="002374FD">
      <w:pPr>
        <w:pStyle w:val="ConsPlusNormal"/>
        <w:jc w:val="right"/>
      </w:pPr>
      <w:r>
        <w:t>к решению Думы</w:t>
      </w:r>
    </w:p>
    <w:p w:rsidR="002374FD" w:rsidRDefault="002374FD">
      <w:pPr>
        <w:pStyle w:val="ConsPlusNormal"/>
        <w:jc w:val="right"/>
      </w:pPr>
      <w:r>
        <w:t>города Когалыма</w:t>
      </w:r>
    </w:p>
    <w:p w:rsidR="002374FD" w:rsidRDefault="002374FD">
      <w:pPr>
        <w:pStyle w:val="ConsPlusNormal"/>
        <w:jc w:val="right"/>
      </w:pPr>
      <w:r>
        <w:t>от 11.03.2012 N 125-ГД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</w:pPr>
      <w:bookmarkStart w:id="0" w:name="P28"/>
      <w:bookmarkEnd w:id="0"/>
      <w:r>
        <w:t>ПОЛОЖЕНИЕ</w:t>
      </w:r>
    </w:p>
    <w:p w:rsidR="002374FD" w:rsidRDefault="002374FD">
      <w:pPr>
        <w:pStyle w:val="ConsPlusTitle"/>
        <w:jc w:val="center"/>
      </w:pPr>
      <w:r>
        <w:t>О ПРОВЕДЕНИИ ВНЕШНЕЙ ПРОВЕРКИ ГОДОВОГО ОТЧЕТА</w:t>
      </w:r>
    </w:p>
    <w:p w:rsidR="002374FD" w:rsidRDefault="002374FD">
      <w:pPr>
        <w:pStyle w:val="ConsPlusTitle"/>
        <w:jc w:val="center"/>
      </w:pPr>
      <w:r>
        <w:t>ОБ ИСПОЛНЕНИИ БЮДЖЕТА ГОРОДА КОГАЛЫМА</w:t>
      </w:r>
    </w:p>
    <w:p w:rsidR="002374FD" w:rsidRDefault="002374FD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2374F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4FD" w:rsidRDefault="002374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4FD" w:rsidRDefault="002374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Когалыма от 24.12.2013 </w:t>
            </w:r>
            <w:hyperlink r:id="rId11" w:history="1">
              <w:r>
                <w:rPr>
                  <w:color w:val="0000FF"/>
                </w:rPr>
                <w:t>N 364-ГД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4FD" w:rsidRDefault="0023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12" w:history="1">
              <w:r>
                <w:rPr>
                  <w:color w:val="0000FF"/>
                </w:rPr>
                <w:t>N 670-ГД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  <w:outlineLvl w:val="1"/>
      </w:pPr>
      <w:r>
        <w:t>1. Общие положения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проведении внешней проверки годового отчета об исполнении бюджета города Когалыма разработано в соответствии с Бюджетным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Бюджетный кодекс), </w:t>
      </w:r>
      <w:hyperlink r:id="rId14" w:history="1">
        <w:r>
          <w:rPr>
            <w:color w:val="0000FF"/>
          </w:rPr>
          <w:t>решением</w:t>
        </w:r>
      </w:hyperlink>
      <w:r>
        <w:t xml:space="preserve"> Думы города Когалыма от 11.12.2007 N 197-ГД "Об утверждении Положения об отдельных вопросах организации и осуществления бюджетного процесса в городе Когалыме" (в редакции от 27.10.2011 N 87-ГД) и определяет порядок проведения внешней проверки </w:t>
      </w:r>
      <w:r>
        <w:lastRenderedPageBreak/>
        <w:t>годового отчета об</w:t>
      </w:r>
      <w:proofErr w:type="gramEnd"/>
      <w:r>
        <w:t xml:space="preserve"> </w:t>
      </w:r>
      <w:proofErr w:type="gramStart"/>
      <w:r>
        <w:t>исполнении</w:t>
      </w:r>
      <w:proofErr w:type="gramEnd"/>
      <w:r>
        <w:t xml:space="preserve"> бюджета города Когалыма (далее - бюджет города).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1.2. Внешняя проверка годового отчета об исполнении бюджета города Когалыма (далее - внешняя проверка) осуществляется Контрольно-счетной палатой города Когалыма (далее - Контрольно-счетная палата) и является составной частью единой системы </w:t>
      </w:r>
      <w:proofErr w:type="gramStart"/>
      <w:r>
        <w:t>контроля за</w:t>
      </w:r>
      <w:proofErr w:type="gramEnd"/>
      <w:r>
        <w:t xml:space="preserve"> бюджетным процессом в городе Когалыме.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1.3. Администрация города Когалыма представляет годовой отчет об исполнении бюджета города Когалыма для проведения внешней проверки и подготовки заключения в Контрольно-счетную палату не позднее 1 апреля текущего года.</w:t>
      </w:r>
    </w:p>
    <w:p w:rsidR="002374FD" w:rsidRDefault="002374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города Когалыма от 24.12.2013 N 364-ГД)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1.4. Заключение на годовой отчет об исполнении бюджета города Когалыма (далее - заключение на годовой отчет) подготавливается на основании </w:t>
      </w:r>
      <w:proofErr w:type="gramStart"/>
      <w:r>
        <w:t>результатов внешней проверки сводной бюджетной отчетности главных распорядителей средств бюджета города</w:t>
      </w:r>
      <w:proofErr w:type="gramEnd"/>
      <w:r>
        <w:t xml:space="preserve"> Когалыма (далее - бюджет города), главных администраторов доходов бюджета города, главных администраторов источников финансирования дефицита бюджета города (далее - главные администраторы средств бюджета города).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Источниками информации, используемыми в ходе внешней проверки, также являются материалы контрольных органов всех уровней, осуществлявших финансовый </w:t>
      </w:r>
      <w:proofErr w:type="gramStart"/>
      <w:r>
        <w:t>контроль за</w:t>
      </w:r>
      <w:proofErr w:type="gramEnd"/>
      <w:r>
        <w:t xml:space="preserve"> использованием средств бюджета города и муниципального имущества в отчетном периоде.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Заключение на годовой отчет об исполнении бюджета города направляется Контрольно-счетной палатой одновременно председателю Думы города Когалыма и в Администрацию города Когалыма (далее - Администрация города).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1.5. Внешняя проверка и оформление заключения на годовой отчет осуществляются в срок, не превышающий один месяц со дня его представления.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1.6. Непосредственное руководство внешней проверкой и подготовку заключения на годовой отчет осуществляет председатель Контрольно-счетной палаты.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  <w:outlineLvl w:val="1"/>
      </w:pPr>
      <w:r>
        <w:t>2. Цель внешней проверки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proofErr w:type="gramStart"/>
      <w:r>
        <w:t>Целью внешней проверки годового отчета об исполнении бюджета города за отчетный финансовый год (далее - годовой отчет) является проверка сводной годовой бюджетной отчетности главных администраторов средств бюджета города на соответствие бюджетному законодательству Российской Федерации, бюджетному законодательству Ханты-Мансийского автономного округа - Югры, муниципальным правовым актам города Когалыма (далее - бюджетное законодательство), нормативным правовым актам Министерства финансов Российской Федерации, устанавливающим единую методологию и стандарты бюджетного</w:t>
      </w:r>
      <w:proofErr w:type="gramEnd"/>
      <w:r>
        <w:t xml:space="preserve"> учета и бюджетной отчетности (далее - законодательство Российской Федерации), и подготовка на основании внешней </w:t>
      </w:r>
      <w:proofErr w:type="gramStart"/>
      <w:r>
        <w:t>проверки главных администраторов средств бюджета города заключения</w:t>
      </w:r>
      <w:proofErr w:type="gramEnd"/>
      <w:r>
        <w:t xml:space="preserve"> на годовой отчет.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  <w:outlineLvl w:val="1"/>
      </w:pPr>
      <w:r>
        <w:t>3. Задачи внешней проверки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r>
        <w:t>Задачами внешней проверки являются: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оценка достоверности данных сводной бюджетной отчетности (далее по тексту - бюджетная отчетность);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- оценка соблюдения главными администраторами </w:t>
      </w:r>
      <w:proofErr w:type="gramStart"/>
      <w:r>
        <w:t>средств бюджета города законодательства Российской Федерации</w:t>
      </w:r>
      <w:proofErr w:type="gramEnd"/>
      <w:r>
        <w:t xml:space="preserve"> при подготовке бюджетной отчетности;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- выявление и анализ допущенных главными администраторами </w:t>
      </w:r>
      <w:proofErr w:type="gramStart"/>
      <w:r>
        <w:t xml:space="preserve">средств бюджета города </w:t>
      </w:r>
      <w:r>
        <w:lastRenderedPageBreak/>
        <w:t>отклонений отчетных показателей</w:t>
      </w:r>
      <w:proofErr w:type="gramEnd"/>
      <w:r>
        <w:t xml:space="preserve"> от показателей бюджета, установленных решением Думы города Когалыма о бюджете на отчетный год;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оценка исполнения бюджета города по доходам и расходам;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оценка достоверности данных годового отчета;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оценка соблюдения бюджетного законодательства при исполнении текстовых статей решения о бюджете города на отчетный год;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подготовка по результатам внешней проверки заключения на годовой отчет.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  <w:outlineLvl w:val="1"/>
      </w:pPr>
      <w:r>
        <w:t>4. Предмет внешней проверки</w:t>
      </w:r>
    </w:p>
    <w:p w:rsidR="002374FD" w:rsidRDefault="002374FD">
      <w:pPr>
        <w:pStyle w:val="ConsPlusTitle"/>
        <w:jc w:val="center"/>
      </w:pPr>
      <w:r>
        <w:t>и метод проведения внешней проверки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r>
        <w:t>4.1. Предметом внешней проверки годового отчета является:</w:t>
      </w:r>
    </w:p>
    <w:p w:rsidR="002374FD" w:rsidRDefault="002374FD">
      <w:pPr>
        <w:pStyle w:val="ConsPlusNormal"/>
        <w:spacing w:before="220"/>
        <w:ind w:firstLine="540"/>
        <w:jc w:val="both"/>
      </w:pPr>
      <w:bookmarkStart w:id="1" w:name="P66"/>
      <w:bookmarkEnd w:id="1"/>
      <w:r>
        <w:t>4.1.1. Годовой отчет об исполнении бюджета города за отчетный финансовый год;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4.1.2. Годовая бухгалтерская и бюджетная отчетность главных администраторов средств бюджета города, дополнительные материалы, документы и пояснения к ним.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4.1.3. Отдельные приложения к проекту решения об исполнении бюджета города, содержащие следующие показатели: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1) доходы бюджета по кодам классификации доходов бюджетов;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2) расходы бюджета по ведомственной структуре;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3) расходы бюджета по разделам и подразделам классификации расходов бюджетов;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4) источники финансирования дефицита бюджета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>;</w:t>
      </w:r>
    </w:p>
    <w:p w:rsidR="002374FD" w:rsidRDefault="002374FD">
      <w:pPr>
        <w:pStyle w:val="ConsPlusNormal"/>
        <w:spacing w:before="220"/>
        <w:ind w:firstLine="540"/>
        <w:jc w:val="both"/>
      </w:pPr>
      <w:bookmarkStart w:id="2" w:name="P73"/>
      <w:bookmarkEnd w:id="2"/>
      <w:r>
        <w:t>4.1.4. Сведения и информации: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1) итоги социально-экономического развития города Когалыма за отчетный финансовый год;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2) отчет о расходовании средств резервного фонда города Когалыма;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3) информация о предоставлении и погашении бюджетных кредитов;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4) информация о предоставленных муниципальных гарантиях города Когалыма;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5) информация о внутренних заимствованиях города Когалыма по видам заимствований;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6) информация о состоянии муниципального долга города Когалыма на первый и последний день отчетного финансового года.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Бюджетная отчетность, приложения, сведения, информация, указанные в </w:t>
      </w:r>
      <w:hyperlink w:anchor="P66" w:history="1">
        <w:r>
          <w:rPr>
            <w:color w:val="0000FF"/>
          </w:rPr>
          <w:t>подпунктах 4.1.1</w:t>
        </w:r>
      </w:hyperlink>
      <w:r>
        <w:t xml:space="preserve"> - </w:t>
      </w:r>
      <w:hyperlink w:anchor="P73" w:history="1">
        <w:r>
          <w:rPr>
            <w:color w:val="0000FF"/>
          </w:rPr>
          <w:t>4.1.4</w:t>
        </w:r>
      </w:hyperlink>
      <w:r>
        <w:t xml:space="preserve"> настоящего Положения, предоставляются на внешнюю проверку на бумажных носителях и в электронном виде.</w:t>
      </w:r>
    </w:p>
    <w:p w:rsidR="002374FD" w:rsidRDefault="002374FD">
      <w:pPr>
        <w:pStyle w:val="ConsPlusNormal"/>
        <w:jc w:val="both"/>
      </w:pPr>
      <w:r>
        <w:t xml:space="preserve">(п. 4.1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города Когалыма от 27.04.2016 N 670-ГД)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4.2. Внешняя проверка проводится выборочным методом представленной на проверку бюджетной отчетности.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В ходе проверки применяются аналитические процедуры: анализ, сопоставление, группировка </w:t>
      </w:r>
      <w:r>
        <w:lastRenderedPageBreak/>
        <w:t>с соответствующим определением результатов.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4.3. Председатель Контрольно-счетной палаты при необходимости запрашивает у главных администраторов средств бюджета города необходимую дополнительную информацию по годовой отчетности, которая представляется в Контрольно-счетную палату в течение трех рабочих дней.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  <w:outlineLvl w:val="1"/>
      </w:pPr>
      <w:r>
        <w:t>5. Объекты внешней проверки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r>
        <w:t>Объектами внешней проверки являются главные администраторы средств бюджета города.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  <w:outlineLvl w:val="1"/>
      </w:pPr>
      <w:r>
        <w:t>6. Направления экспертно-аналитических мероприятий</w:t>
      </w:r>
    </w:p>
    <w:p w:rsidR="002374FD" w:rsidRDefault="002374FD">
      <w:pPr>
        <w:pStyle w:val="ConsPlusTitle"/>
        <w:jc w:val="center"/>
      </w:pPr>
      <w:r>
        <w:t>при проведении внешней проверки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r>
        <w:t>6.1. Экспертно-аналитические мероприятия по проверке годового отчета проводятся по следующим направлениям: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6.1.1. Общие вопросы: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По данному направлению анализируются: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- соблюдение главными администраторами </w:t>
      </w:r>
      <w:proofErr w:type="gramStart"/>
      <w:r>
        <w:t>средств бюджета города порядка подготовки бюджетной отчетности</w:t>
      </w:r>
      <w:proofErr w:type="gramEnd"/>
      <w:r>
        <w:t xml:space="preserve"> и соблюдения сроков предоставления ее на внешнюю проверку;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наличие правовой базы, регламентирующей исполнение бюджета в городе Когалыме.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6.1.2. Оценка соблюдения законодательства Российской Федерации при исполнении бюджета города по доходам.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По данному направлению анализируются: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1) соблюдение бюджетного законодательства по отражению в бюджетной отчетности доходов бюджета города;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7" w:history="1">
        <w:r>
          <w:rPr>
            <w:color w:val="0000FF"/>
          </w:rPr>
          <w:t>Решение</w:t>
        </w:r>
      </w:hyperlink>
      <w:r>
        <w:t xml:space="preserve"> Думы города Когалыма от 27.04.2016 N 670-ГД;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3) выполнение утвержденных бюджетных назначений в разрезе структуры доходов бюджета города, отклонения от утвержденных бюджетных назначений.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6.1.3. Оценка соблюдения законодательства Российской Федерации при исполнении бюджета по расходам.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По данному направлению анализируются: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1) соблюдение бюджетного законодательства по отражению в бюджетной отчетности расходов бюджета города;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2) изменение расходов бюджета города по разделам, подразделам, целевым статьям и видам расходов бюджета </w:t>
      </w:r>
      <w:proofErr w:type="gramStart"/>
      <w:r>
        <w:t>города</w:t>
      </w:r>
      <w:proofErr w:type="gramEnd"/>
      <w:r>
        <w:t xml:space="preserve"> с учетом внесенных в течение отчетного периода изменений и дополнений;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3) выполнение утвержденных бюджетных ассигнований по разделам, подразделам, целевым статьям и видам расходов бюджета города в ведомственной структуре расходов;</w:t>
      </w:r>
    </w:p>
    <w:p w:rsidR="002374FD" w:rsidRDefault="002374FD">
      <w:pPr>
        <w:pStyle w:val="ConsPlusNormal"/>
        <w:spacing w:before="220"/>
        <w:ind w:firstLine="540"/>
        <w:jc w:val="both"/>
      </w:pPr>
      <w:proofErr w:type="gramStart"/>
      <w:r>
        <w:t xml:space="preserve">4) соблюдение требования законодательства Российской Федерации по раздельному учету бюджетных средств, направляемых на исполнение расходных обязательств муниципального образования город Когалым, возникающих в связи с осуществлением органами местного самоуправления города Когалыма полномочий по вопросам местного значения, и расходных </w:t>
      </w:r>
      <w:r>
        <w:lastRenderedPageBreak/>
        <w:t>обязательств муниципального образования, исполняемых за счет субвенций из других бюджетов бюджетной системы Российской Федерации для осуществления отдельных государственных полномочий;</w:t>
      </w:r>
      <w:proofErr w:type="gramEnd"/>
    </w:p>
    <w:p w:rsidR="002374FD" w:rsidRDefault="002374FD">
      <w:pPr>
        <w:pStyle w:val="ConsPlusNormal"/>
        <w:spacing w:before="220"/>
        <w:ind w:firstLine="540"/>
        <w:jc w:val="both"/>
      </w:pPr>
      <w:r>
        <w:t>5) соблюдения законодательства Российской Федерации при отражении в бюджетной отчетности бюджетных ассигнований на реализацию муниципальных программ с освещением причин допущенных отклонений от утвержденных бюджетных назначений в разрезе муниципальных программ;</w:t>
      </w:r>
    </w:p>
    <w:p w:rsidR="002374FD" w:rsidRDefault="002374FD">
      <w:pPr>
        <w:pStyle w:val="ConsPlusNormal"/>
        <w:jc w:val="both"/>
      </w:pPr>
      <w:r>
        <w:t xml:space="preserve">(пп. 5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города Когалыма от 27.04.2016 N 670-ГД)</w:t>
      </w:r>
    </w:p>
    <w:p w:rsidR="002374FD" w:rsidRDefault="002374FD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2374F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4FD" w:rsidRDefault="002374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374FD" w:rsidRDefault="002374FD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2374FD" w:rsidRDefault="002374FD">
      <w:pPr>
        <w:pStyle w:val="ConsPlusNormal"/>
        <w:spacing w:before="280"/>
        <w:ind w:firstLine="540"/>
        <w:jc w:val="both"/>
      </w:pPr>
      <w:r>
        <w:t xml:space="preserve">7) наличие </w:t>
      </w:r>
      <w:proofErr w:type="gramStart"/>
      <w:r>
        <w:t>дебиторской</w:t>
      </w:r>
      <w:proofErr w:type="gramEnd"/>
      <w:r>
        <w:t xml:space="preserve"> и кредиторской задолженностей по состоянию на начало и на конец отчетного периода, в том числе просроченной;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8) иные исходные данные, касающиеся произведенных расходов бюджета города в отчетном году.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6.1.4. Оценка соответствия размера дефицита бюджета и источников внутреннего финансирования дефицита бюджета бюджетному законодательству.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По данному направлению анализируются: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1) соответствие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за отчетный период Бюджетному </w:t>
      </w:r>
      <w:hyperlink r:id="rId19" w:history="1">
        <w:r>
          <w:rPr>
            <w:color w:val="0000FF"/>
          </w:rPr>
          <w:t>кодексу</w:t>
        </w:r>
      </w:hyperlink>
      <w:r>
        <w:t>, решению Думы города Когалыма о бюджете города Когалыма на соответствующий год (далее - решение о бюджете города);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2) соответствие размера дефицита бюджета города по состоянию на 31 декабря отчетного года ограничениям, установленным Бюджетным </w:t>
      </w:r>
      <w:hyperlink r:id="rId20" w:history="1">
        <w:r>
          <w:rPr>
            <w:color w:val="0000FF"/>
          </w:rPr>
          <w:t>кодексом</w:t>
        </w:r>
      </w:hyperlink>
      <w:r>
        <w:t>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6.1.5. Оценка </w:t>
      </w:r>
      <w:proofErr w:type="gramStart"/>
      <w:r>
        <w:t>соблюдения порядка расходования средств резервного фонда Администрации города</w:t>
      </w:r>
      <w:proofErr w:type="gramEnd"/>
      <w:r>
        <w:t>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По данному направлению анализируется соблюдение </w:t>
      </w:r>
      <w:proofErr w:type="gramStart"/>
      <w:r>
        <w:t>порядка расходования средств резервного фонда Администрации города</w:t>
      </w:r>
      <w:proofErr w:type="gramEnd"/>
      <w:r>
        <w:t>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6.1.6. Оценка соответствия бюджетному законодательству верхнего предела муниципального долга, структуры муниципального долга, оценка соблюдения бюджетного законодательства при осуществлении муниципальных заимствований.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По данному направлению анализируется: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1) соответствие </w:t>
      </w:r>
      <w:proofErr w:type="gramStart"/>
      <w:r>
        <w:t>размера верхнего предела муниципального долга города Когалыма</w:t>
      </w:r>
      <w:proofErr w:type="gramEnd"/>
      <w:r>
        <w:t xml:space="preserve"> критериям, установленным Бюджетным </w:t>
      </w:r>
      <w:hyperlink r:id="rId21" w:history="1">
        <w:r>
          <w:rPr>
            <w:color w:val="0000FF"/>
          </w:rPr>
          <w:t>кодексом</w:t>
        </w:r>
      </w:hyperlink>
      <w:r>
        <w:t>, решению о бюджете города;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2) соответствие структуры муниципального долга города Когалыма решению о бюджете города;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3) исполнение программы муниципальных заимствований.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6.1.7. Оценка соблюдения бюджетного законодательства при предоставлении бюджетных кредитов.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По данному направлению анализируется соблюдение пределов утвержденных бюджетных </w:t>
      </w:r>
      <w:r>
        <w:lastRenderedPageBreak/>
        <w:t>ассигнований на предоставление бюджетных кредитов юридическим лицам на срок в пределах финансового года и на срок, выходящий за пределы финансового года в соответствии с решением о бюджете города.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6.1.8. Оценка соблюдения бюджетного законодательства при предоставлении муниципальных гарантий.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По данному направлению анализируется соблюдение бюджетного законодательства при предоставлении муниципальных гарантий муниципального образования город Когалым.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6.1.9. Оценка достижения показателей оказываемых муниципальных услуг (выполняемых работ).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По данному направлению анализируется: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1) достижение главными администраторами средств бюджета города утвержденных показателей, характеризующих состав, качество и (или) объем (содержание) оказываемых муниципальных услуг (работ);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исполнением муниципального задания;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3) соблюдение действующих требований при формировании отчетности об исполнении муниципального задания.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  <w:outlineLvl w:val="1"/>
      </w:pPr>
      <w:r>
        <w:t>7. Оформление результатов внешней проверки</w:t>
      </w:r>
    </w:p>
    <w:p w:rsidR="002374FD" w:rsidRDefault="002374FD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города Когалыма от 27.04.2016 N 670-ГД)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r>
        <w:t>7.1. По итогам внешней проверки годового отчета Контрольно-счетная палата готовит заключение на годовой отчет с учетом данных внешней проверки годовой бюджетной отчетности.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7.2. Заключение на годовой отчет подписывается председателем Контрольно-счетной палаты и заверяется печатью Контрольно-счетной палаты.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Title"/>
        <w:jc w:val="center"/>
        <w:outlineLvl w:val="1"/>
      </w:pPr>
      <w:r>
        <w:t>8. Заключение на годовой отчет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  <w:r>
        <w:t>Заключение на годовой отчет содержит следующие разделы: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8.1. Общие положения.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В общих положениях приводятся: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цель и задачи внешней проверки;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объекты внешней проверки;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- вывод о соблюдении главными администраторами </w:t>
      </w:r>
      <w:proofErr w:type="gramStart"/>
      <w:r>
        <w:t>средств бюджета города законодательства Российской Федерации</w:t>
      </w:r>
      <w:proofErr w:type="gramEnd"/>
      <w:r>
        <w:t xml:space="preserve"> при формировании бюджетной отчетности и соблюдении сроков представления ее на внешнюю проверку;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предмет внешней проверки и метод проведения внешней проверки.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8.2. Основная аналитическая часть.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В основной аналитической части в обобщенном виде приводятся результаты экспертно-аналитических мероприятий по направлениям: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а) по оценке соответствия правовой базы, регламентирующей исполнение бюджета города, </w:t>
      </w:r>
      <w:r>
        <w:lastRenderedPageBreak/>
        <w:t>бюджетному законодательству;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б) по соблюдению бюджетного законодательства при исполнении бюджета города по доходам, приводятся данные о допущенных отклонениях от утвержденных бюджетных назначений с указанием главных администраторов доходов, допустивших неисполнение бюджетных назначений, освещаются причины допущенных отклонений;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в) по соблюдению бюджетного законодательства при исполнении бюджета города по расходам, в том числе приводятся данные: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 допущенных отклонениях от утвержденных бюджетных назначений по разделам, подразделам ведомственной классификации, освещаются причины допущенных отклонений;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 допущенных отклонениях от утвержденных бюджетных назначений по освоению муниципальных программ, освещаются причины допущенных отклонений;</w:t>
      </w:r>
    </w:p>
    <w:p w:rsidR="002374FD" w:rsidRDefault="002374F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города Когалыма от 27.04.2016 N 670-ГД)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 наличии дебиторской и кредиторской задолженности на начало и конец отчетного периода, в том числе с истекшим сроком исковой давности и отражением мер, принимаемых по ее сокращению и ликвидации;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г) по соответствию дефицита бюджета города критериям Бюджетного </w:t>
      </w:r>
      <w:hyperlink r:id="rId24" w:history="1">
        <w:r>
          <w:rPr>
            <w:color w:val="0000FF"/>
          </w:rPr>
          <w:t>кодекса</w:t>
        </w:r>
      </w:hyperlink>
      <w:r>
        <w:t>, решению о бюджете города;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д) по соблюдению </w:t>
      </w:r>
      <w:proofErr w:type="gramStart"/>
      <w:r>
        <w:t>порядка расходования средств резервного фонда Администрации города</w:t>
      </w:r>
      <w:proofErr w:type="gramEnd"/>
      <w:r>
        <w:t>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е) по исполнению программы предоставления муниципальных гарантий;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ё) по исполнению программы осуществления муниципальных заимствований;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ж) по исполнению программы предоставления бюджетных кредитов;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з) по обеспечению выполнения главными администраторами </w:t>
      </w:r>
      <w:proofErr w:type="gramStart"/>
      <w:r>
        <w:t>средств бюджета города отчетных показателей оказываемых муниципальных услуг</w:t>
      </w:r>
      <w:proofErr w:type="gramEnd"/>
      <w:r>
        <w:t xml:space="preserve"> по отношению к утвержденным.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По каждому направлению деятельности формируются выводы, основанные на результатах проведенных экспертно-аналитических мероприятий.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8.3. Заключительная часть содержит выводы, основанные на результатах внешней проверки: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 соответствии бюджетному законодательству правовой базы, регламентирующей исполнение бюджета города;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 достоверности данных годового отчета;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 соблюдении главными администраторами средств бюджета города бюджетного законодательства, правовых актов Министерства финансов Российской Федерации по составлению бюджетной отчетности;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 xml:space="preserve">- о соблюдении главными администраторами </w:t>
      </w:r>
      <w:proofErr w:type="gramStart"/>
      <w:r>
        <w:t>средств бюджета города установленного порядка представления бюджетной</w:t>
      </w:r>
      <w:proofErr w:type="gramEnd"/>
      <w:r>
        <w:t xml:space="preserve"> отчетности, годового отчета на внешнюю проверку;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 соответствии параметров проекта решения об утверждении годового отчета данным бюджетной отчетности;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- о соблюдении принципа эффективности при использовании в отчетном году средств бюджета города;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lastRenderedPageBreak/>
        <w:t>- о наличии недостатков при исполнении бюджета города на основании отчетных данных за отчетный финансовый год.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При выявлении в ходе внешней проверки нарушений бюджетного законодательства они приводятся в обобщенном виде.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8.4. Приложения.</w:t>
      </w:r>
    </w:p>
    <w:p w:rsidR="002374FD" w:rsidRDefault="002374FD">
      <w:pPr>
        <w:pStyle w:val="ConsPlusNormal"/>
        <w:spacing w:before="220"/>
        <w:ind w:firstLine="540"/>
        <w:jc w:val="both"/>
      </w:pPr>
      <w:r>
        <w:t>В приложения включаются таблицы, графический материал, пояснительные записки, иные материалы, касающиеся цели внешней проверки, состав и количество которых не регламентируется.</w:t>
      </w: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ind w:firstLine="540"/>
        <w:jc w:val="both"/>
      </w:pPr>
    </w:p>
    <w:p w:rsidR="002374FD" w:rsidRDefault="002374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717" w:rsidRDefault="00163717">
      <w:bookmarkStart w:id="3" w:name="_GoBack"/>
      <w:bookmarkEnd w:id="3"/>
    </w:p>
    <w:sectPr w:rsidR="00163717" w:rsidSect="00497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FD"/>
    <w:rsid w:val="00163717"/>
    <w:rsid w:val="002374FD"/>
    <w:rsid w:val="004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21458EA0E93784F5C23EFCCE46001A602BB299B7387F183B674B2BAE4B37A6818A73A23193CFD87D6EF89E07B17D6B413D3C8B365q9D4G" TargetMode="External"/><Relationship Id="rId13" Type="http://schemas.openxmlformats.org/officeDocument/2006/relationships/hyperlink" Target="consultantplus://offline/ref=59021458EA0E93784F5C23EFCCE46001A602BB299B7387F183B674B2BAE4B37A6818A73A23193CFD87D6EF89E07B17D6B413D3C8B365q9D4G" TargetMode="External"/><Relationship Id="rId18" Type="http://schemas.openxmlformats.org/officeDocument/2006/relationships/hyperlink" Target="consultantplus://offline/ref=59021458EA0E93784F5C3DE2DA88370EA301E6209A768DA0D8E672E5E5B4B52F2858A16C675C30F7D387ABDEE8714299F040C0CBB279956999750D5Eq8D0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021458EA0E93784F5C23EFCCE46001A602BB299B7387F183B674B2BAE4B37A7A18FF35251923F6D599A9DCEFq7DBG" TargetMode="External"/><Relationship Id="rId7" Type="http://schemas.openxmlformats.org/officeDocument/2006/relationships/hyperlink" Target="consultantplus://offline/ref=59021458EA0E93784F5C3DE2DA88370EA301E6209A768DA0D8E672E5E5B4B52F2858A16C675C30F7D387ABDCE8714299F040C0CBB279956999750D5Eq8D0G" TargetMode="External"/><Relationship Id="rId12" Type="http://schemas.openxmlformats.org/officeDocument/2006/relationships/hyperlink" Target="consultantplus://offline/ref=59021458EA0E93784F5C3DE2DA88370EA301E6209A768DA0D8E672E5E5B4B52F2858A16C675C30F7D387ABDCEB714299F040C0CBB279956999750D5Eq8D0G" TargetMode="External"/><Relationship Id="rId17" Type="http://schemas.openxmlformats.org/officeDocument/2006/relationships/hyperlink" Target="consultantplus://offline/ref=59021458EA0E93784F5C3DE2DA88370EA301E6209A768DA0D8E672E5E5B4B52F2858A16C675C30F7D387ABDEE9714299F040C0CBB279956999750D5Eq8D0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021458EA0E93784F5C3DE2DA88370EA301E6209A768DA0D8E672E5E5B4B52F2858A16C675C30F7D387ABDCEB714299F040C0CBB279956999750D5Eq8D0G" TargetMode="External"/><Relationship Id="rId20" Type="http://schemas.openxmlformats.org/officeDocument/2006/relationships/hyperlink" Target="consultantplus://offline/ref=59021458EA0E93784F5C23EFCCE46001A602BB299B7387F183B674B2BAE4B37A7A18FF35251923F6D599A9DCEFq7D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21458EA0E93784F5C3DE2DA88370EA301E6209A7C84A1DFE472E5E5B4B52F2858A16C675C30F7D387ABDCE8714299F040C0CBB279956999750D5Eq8D0G" TargetMode="External"/><Relationship Id="rId11" Type="http://schemas.openxmlformats.org/officeDocument/2006/relationships/hyperlink" Target="consultantplus://offline/ref=59021458EA0E93784F5C3DE2DA88370EA301E6209A7C84A1DFE472E5E5B4B52F2858A16C675C30F7D387ABDCEB714299F040C0CBB279956999750D5Eq8D0G" TargetMode="External"/><Relationship Id="rId24" Type="http://schemas.openxmlformats.org/officeDocument/2006/relationships/hyperlink" Target="consultantplus://offline/ref=59021458EA0E93784F5C23EFCCE46001A602BB299B7387F183B674B2BAE4B37A7A18FF35251923F6D599A9DCEFq7DB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021458EA0E93784F5C3DE2DA88370EA301E6209A7C84A1DFE472E5E5B4B52F2858A16C675C30F7D387ABDCEB714299F040C0CBB279956999750D5Eq8D0G" TargetMode="External"/><Relationship Id="rId23" Type="http://schemas.openxmlformats.org/officeDocument/2006/relationships/hyperlink" Target="consultantplus://offline/ref=59021458EA0E93784F5C3DE2DA88370EA301E6209A768DA0D8E672E5E5B4B52F2858A16C675C30F7D387ABDEEA714299F040C0CBB279956999750D5Eq8D0G" TargetMode="External"/><Relationship Id="rId10" Type="http://schemas.openxmlformats.org/officeDocument/2006/relationships/hyperlink" Target="consultantplus://offline/ref=59021458EA0E93784F5C3DE2DA88370EA301E62099778EA1DCE472E5E5B4B52F2858A16C675C30F7D386AEDAED714299F040C0CBB279956999750D5Eq8D0G" TargetMode="External"/><Relationship Id="rId19" Type="http://schemas.openxmlformats.org/officeDocument/2006/relationships/hyperlink" Target="consultantplus://offline/ref=59021458EA0E93784F5C23EFCCE46001A602BB299B7387F183B674B2BAE4B37A7A18FF35251923F6D599A9DCEFq7D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21458EA0E93784F5C23EFCCE46001A60BBC259C7487F183B674B2BAE4B37A7A18FF35251923F6D599A9DCEFq7DBG" TargetMode="External"/><Relationship Id="rId14" Type="http://schemas.openxmlformats.org/officeDocument/2006/relationships/hyperlink" Target="consultantplus://offline/ref=59021458EA0E93784F5C3DE2DA88370EA301E62099778AAFD9E372E5E5B4B52F2858A16C675C30F7D387AAD4EB714299F040C0CBB279956999750D5Eq8D0G" TargetMode="External"/><Relationship Id="rId22" Type="http://schemas.openxmlformats.org/officeDocument/2006/relationships/hyperlink" Target="consultantplus://offline/ref=59021458EA0E93784F5C3DE2DA88370EA301E6209A768DA0D8E672E5E5B4B52F2858A16C675C30F7D387ABDEE5714299F040C0CBB279956999750D5Eq8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Никозова Виктория Владимировна</dc:creator>
  <cp:lastModifiedBy>Никозова Виктория Владимировна</cp:lastModifiedBy>
  <cp:revision>1</cp:revision>
  <dcterms:created xsi:type="dcterms:W3CDTF">2021-06-11T06:03:00Z</dcterms:created>
  <dcterms:modified xsi:type="dcterms:W3CDTF">2021-06-11T06:04:00Z</dcterms:modified>
</cp:coreProperties>
</file>