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674" w:rsidRPr="00656390" w:rsidRDefault="00DA6674" w:rsidP="00DA6674">
      <w:pPr>
        <w:spacing w:after="0"/>
        <w:jc w:val="right"/>
        <w:rPr>
          <w:rFonts w:ascii="Times New Roman" w:hAnsi="Times New Roman"/>
          <w:sz w:val="28"/>
          <w:szCs w:val="28"/>
        </w:rPr>
      </w:pPr>
      <w:r w:rsidRPr="00656390">
        <w:rPr>
          <w:rFonts w:ascii="Times New Roman" w:hAnsi="Times New Roman"/>
          <w:sz w:val="28"/>
          <w:szCs w:val="28"/>
        </w:rPr>
        <w:t>Утвержден п. ___протокола заседания</w:t>
      </w:r>
    </w:p>
    <w:p w:rsidR="00DA6674" w:rsidRPr="00656390" w:rsidRDefault="00DA6674" w:rsidP="00DA6674">
      <w:pPr>
        <w:spacing w:after="0"/>
        <w:jc w:val="right"/>
        <w:rPr>
          <w:rFonts w:ascii="Times New Roman" w:hAnsi="Times New Roman"/>
          <w:sz w:val="28"/>
          <w:szCs w:val="28"/>
        </w:rPr>
      </w:pPr>
      <w:r w:rsidRPr="00656390">
        <w:rPr>
          <w:rFonts w:ascii="Times New Roman" w:hAnsi="Times New Roman"/>
          <w:sz w:val="28"/>
          <w:szCs w:val="28"/>
        </w:rPr>
        <w:t>Антинаркотической комиссии Ханты-</w:t>
      </w:r>
    </w:p>
    <w:p w:rsidR="00DA6674" w:rsidRPr="00656390" w:rsidRDefault="00DA6674" w:rsidP="00DA6674">
      <w:pPr>
        <w:spacing w:after="0"/>
        <w:jc w:val="right"/>
        <w:rPr>
          <w:rFonts w:ascii="Times New Roman" w:hAnsi="Times New Roman"/>
          <w:sz w:val="28"/>
          <w:szCs w:val="28"/>
        </w:rPr>
      </w:pPr>
      <w:r w:rsidRPr="00656390">
        <w:rPr>
          <w:rFonts w:ascii="Times New Roman" w:hAnsi="Times New Roman"/>
          <w:sz w:val="28"/>
          <w:szCs w:val="28"/>
        </w:rPr>
        <w:t xml:space="preserve">Мансийского автономного округа – Югры </w:t>
      </w:r>
    </w:p>
    <w:p w:rsidR="00DA6674" w:rsidRPr="00656390" w:rsidRDefault="00DA6674" w:rsidP="00DA6674">
      <w:pPr>
        <w:spacing w:after="0"/>
        <w:jc w:val="right"/>
        <w:rPr>
          <w:rFonts w:ascii="Times New Roman" w:hAnsi="Times New Roman"/>
          <w:sz w:val="28"/>
          <w:szCs w:val="28"/>
        </w:rPr>
      </w:pPr>
      <w:r w:rsidRPr="00656390">
        <w:rPr>
          <w:rFonts w:ascii="Times New Roman" w:hAnsi="Times New Roman"/>
          <w:sz w:val="28"/>
          <w:szCs w:val="28"/>
        </w:rPr>
        <w:t>от ___________ 2018 года № ___</w:t>
      </w: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sz w:val="36"/>
          <w:szCs w:val="36"/>
        </w:rPr>
      </w:pPr>
    </w:p>
    <w:p w:rsidR="00DA6674" w:rsidRPr="00656390" w:rsidRDefault="00DA6674" w:rsidP="00DA6674">
      <w:pPr>
        <w:spacing w:after="0"/>
        <w:jc w:val="center"/>
        <w:rPr>
          <w:rFonts w:ascii="Times New Roman" w:hAnsi="Times New Roman"/>
          <w:sz w:val="36"/>
          <w:szCs w:val="36"/>
        </w:rPr>
      </w:pPr>
    </w:p>
    <w:p w:rsidR="00DA6674" w:rsidRPr="00656390" w:rsidRDefault="00DA6674" w:rsidP="00DA6674">
      <w:pPr>
        <w:spacing w:after="0"/>
        <w:jc w:val="center"/>
        <w:rPr>
          <w:rFonts w:ascii="Times New Roman" w:hAnsi="Times New Roman"/>
          <w:sz w:val="36"/>
          <w:szCs w:val="36"/>
        </w:rPr>
      </w:pPr>
    </w:p>
    <w:p w:rsidR="00DA6674" w:rsidRPr="00656390" w:rsidRDefault="00DA6674" w:rsidP="00DA6674">
      <w:pPr>
        <w:spacing w:after="0"/>
        <w:jc w:val="center"/>
        <w:rPr>
          <w:rFonts w:ascii="Times New Roman" w:hAnsi="Times New Roman"/>
          <w:sz w:val="36"/>
          <w:szCs w:val="36"/>
        </w:rPr>
      </w:pPr>
    </w:p>
    <w:p w:rsidR="00501885" w:rsidRPr="00501885" w:rsidRDefault="00501885" w:rsidP="00501885">
      <w:pPr>
        <w:spacing w:after="0"/>
        <w:jc w:val="center"/>
        <w:rPr>
          <w:rFonts w:ascii="Times New Roman" w:eastAsia="Times New Roman" w:hAnsi="Times New Roman"/>
          <w:sz w:val="44"/>
          <w:szCs w:val="44"/>
          <w:lang w:eastAsia="ru-RU"/>
        </w:rPr>
      </w:pPr>
      <w:r w:rsidRPr="00501885">
        <w:rPr>
          <w:rFonts w:ascii="Times New Roman" w:eastAsia="Times New Roman" w:hAnsi="Times New Roman"/>
          <w:sz w:val="44"/>
          <w:szCs w:val="44"/>
          <w:lang w:eastAsia="ru-RU"/>
        </w:rPr>
        <w:t>Доклад о наркоситуации</w:t>
      </w:r>
    </w:p>
    <w:p w:rsidR="00501885" w:rsidRPr="00501885" w:rsidRDefault="00501885" w:rsidP="00501885">
      <w:pPr>
        <w:spacing w:after="0"/>
        <w:jc w:val="center"/>
        <w:rPr>
          <w:rFonts w:ascii="Times New Roman" w:hAnsi="Times New Roman"/>
          <w:sz w:val="44"/>
          <w:szCs w:val="44"/>
        </w:rPr>
      </w:pPr>
      <w:r w:rsidRPr="00501885">
        <w:rPr>
          <w:rFonts w:ascii="Times New Roman" w:hAnsi="Times New Roman"/>
          <w:sz w:val="44"/>
          <w:szCs w:val="44"/>
        </w:rPr>
        <w:t>в Ханты-Мансийском автономном</w:t>
      </w:r>
    </w:p>
    <w:p w:rsidR="00DA6674" w:rsidRPr="00501885" w:rsidRDefault="00501885" w:rsidP="00501885">
      <w:pPr>
        <w:spacing w:after="0"/>
        <w:jc w:val="center"/>
        <w:rPr>
          <w:rFonts w:ascii="Times New Roman" w:hAnsi="Times New Roman"/>
          <w:sz w:val="44"/>
          <w:szCs w:val="44"/>
        </w:rPr>
      </w:pPr>
      <w:r w:rsidRPr="00501885">
        <w:rPr>
          <w:rFonts w:ascii="Times New Roman" w:hAnsi="Times New Roman"/>
          <w:sz w:val="44"/>
          <w:szCs w:val="44"/>
        </w:rPr>
        <w:t xml:space="preserve">округе – Югре </w:t>
      </w:r>
      <w:r w:rsidR="00DA6674" w:rsidRPr="00501885">
        <w:rPr>
          <w:rFonts w:ascii="Times New Roman" w:hAnsi="Times New Roman"/>
          <w:sz w:val="44"/>
          <w:szCs w:val="44"/>
        </w:rPr>
        <w:t>в 2017 году</w:t>
      </w: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b/>
          <w:sz w:val="28"/>
          <w:szCs w:val="28"/>
        </w:rPr>
      </w:pPr>
    </w:p>
    <w:p w:rsidR="00DA6674" w:rsidRDefault="00DA6674" w:rsidP="00DA6674">
      <w:pPr>
        <w:spacing w:after="0"/>
        <w:jc w:val="center"/>
        <w:rPr>
          <w:rFonts w:ascii="Times New Roman" w:hAnsi="Times New Roman"/>
          <w:b/>
          <w:sz w:val="28"/>
          <w:szCs w:val="28"/>
        </w:rPr>
      </w:pPr>
    </w:p>
    <w:p w:rsidR="00501885" w:rsidRDefault="00501885" w:rsidP="00DA6674">
      <w:pPr>
        <w:spacing w:after="0"/>
        <w:jc w:val="center"/>
        <w:rPr>
          <w:rFonts w:ascii="Times New Roman" w:hAnsi="Times New Roman"/>
          <w:b/>
          <w:sz w:val="28"/>
          <w:szCs w:val="28"/>
        </w:rPr>
      </w:pPr>
    </w:p>
    <w:p w:rsidR="00501885" w:rsidRDefault="00501885" w:rsidP="00DA6674">
      <w:pPr>
        <w:spacing w:after="0"/>
        <w:jc w:val="center"/>
        <w:rPr>
          <w:rFonts w:ascii="Times New Roman" w:hAnsi="Times New Roman"/>
          <w:b/>
          <w:sz w:val="28"/>
          <w:szCs w:val="28"/>
        </w:rPr>
      </w:pPr>
    </w:p>
    <w:p w:rsidR="00501885" w:rsidRDefault="00501885" w:rsidP="00DA6674">
      <w:pPr>
        <w:spacing w:after="0"/>
        <w:jc w:val="center"/>
        <w:rPr>
          <w:rFonts w:ascii="Times New Roman" w:hAnsi="Times New Roman"/>
          <w:b/>
          <w:sz w:val="28"/>
          <w:szCs w:val="28"/>
        </w:rPr>
      </w:pPr>
    </w:p>
    <w:p w:rsidR="00501885" w:rsidRDefault="00501885" w:rsidP="00DA6674">
      <w:pPr>
        <w:spacing w:after="0"/>
        <w:jc w:val="center"/>
        <w:rPr>
          <w:rFonts w:ascii="Times New Roman" w:hAnsi="Times New Roman"/>
          <w:b/>
          <w:sz w:val="28"/>
          <w:szCs w:val="28"/>
        </w:rPr>
      </w:pPr>
    </w:p>
    <w:p w:rsidR="00501885" w:rsidRDefault="00501885" w:rsidP="00DA6674">
      <w:pPr>
        <w:spacing w:after="0"/>
        <w:jc w:val="center"/>
        <w:rPr>
          <w:rFonts w:ascii="Times New Roman" w:hAnsi="Times New Roman"/>
          <w:b/>
          <w:sz w:val="28"/>
          <w:szCs w:val="28"/>
        </w:rPr>
      </w:pPr>
    </w:p>
    <w:p w:rsidR="00501885" w:rsidRDefault="00501885" w:rsidP="00DA6674">
      <w:pPr>
        <w:spacing w:after="0"/>
        <w:jc w:val="center"/>
        <w:rPr>
          <w:rFonts w:ascii="Times New Roman" w:hAnsi="Times New Roman"/>
          <w:b/>
          <w:sz w:val="28"/>
          <w:szCs w:val="28"/>
        </w:rPr>
      </w:pPr>
    </w:p>
    <w:p w:rsidR="00501885" w:rsidRPr="00656390" w:rsidRDefault="00501885" w:rsidP="00DA6674">
      <w:pPr>
        <w:spacing w:after="0"/>
        <w:jc w:val="center"/>
        <w:rPr>
          <w:rFonts w:ascii="Times New Roman" w:hAnsi="Times New Roman"/>
          <w:b/>
          <w:sz w:val="28"/>
          <w:szCs w:val="28"/>
        </w:rPr>
      </w:pPr>
    </w:p>
    <w:p w:rsidR="00DA6674" w:rsidRDefault="00DA6674" w:rsidP="00DA6674">
      <w:pPr>
        <w:spacing w:after="0"/>
        <w:jc w:val="center"/>
        <w:rPr>
          <w:rFonts w:ascii="Times New Roman" w:hAnsi="Times New Roman"/>
          <w:b/>
          <w:sz w:val="28"/>
          <w:szCs w:val="28"/>
        </w:rPr>
      </w:pPr>
    </w:p>
    <w:p w:rsidR="00B80A95" w:rsidRPr="00656390" w:rsidRDefault="00B80A95"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jc w:val="center"/>
        <w:rPr>
          <w:rFonts w:ascii="Times New Roman" w:hAnsi="Times New Roman"/>
          <w:sz w:val="28"/>
          <w:szCs w:val="24"/>
        </w:rPr>
      </w:pPr>
      <w:r w:rsidRPr="00656390">
        <w:rPr>
          <w:rFonts w:ascii="Times New Roman" w:hAnsi="Times New Roman"/>
          <w:sz w:val="28"/>
          <w:szCs w:val="24"/>
        </w:rPr>
        <w:t>г. Ханты-Мансийск</w:t>
      </w:r>
    </w:p>
    <w:p w:rsidR="00DA6674" w:rsidRPr="00656390" w:rsidRDefault="00DA6674" w:rsidP="00DA6674">
      <w:pPr>
        <w:spacing w:after="0"/>
        <w:jc w:val="center"/>
        <w:rPr>
          <w:rFonts w:ascii="Times New Roman" w:hAnsi="Times New Roman"/>
          <w:sz w:val="28"/>
          <w:szCs w:val="24"/>
        </w:rPr>
      </w:pPr>
      <w:r w:rsidRPr="00656390">
        <w:rPr>
          <w:rFonts w:ascii="Times New Roman" w:hAnsi="Times New Roman"/>
          <w:sz w:val="28"/>
          <w:szCs w:val="24"/>
        </w:rPr>
        <w:t>2018</w:t>
      </w:r>
    </w:p>
    <w:p w:rsidR="00DA6674" w:rsidRPr="00656390" w:rsidRDefault="00DA6674" w:rsidP="00DA6674">
      <w:pPr>
        <w:spacing w:after="0"/>
        <w:jc w:val="center"/>
        <w:rPr>
          <w:rFonts w:ascii="Times New Roman" w:hAnsi="Times New Roman"/>
          <w:b/>
          <w:sz w:val="28"/>
          <w:szCs w:val="28"/>
        </w:rPr>
      </w:pPr>
      <w:r w:rsidRPr="00656390">
        <w:rPr>
          <w:rFonts w:ascii="Times New Roman" w:hAnsi="Times New Roman"/>
          <w:b/>
          <w:sz w:val="28"/>
          <w:szCs w:val="28"/>
        </w:rPr>
        <w:lastRenderedPageBreak/>
        <w:t>ОГЛАВЛЕНИЕ:</w:t>
      </w:r>
    </w:p>
    <w:tbl>
      <w:tblPr>
        <w:tblW w:w="9645" w:type="dxa"/>
        <w:tblInd w:w="108" w:type="dxa"/>
        <w:tblLayout w:type="fixed"/>
        <w:tblLook w:val="04A0"/>
      </w:tblPr>
      <w:tblGrid>
        <w:gridCol w:w="8794"/>
        <w:gridCol w:w="851"/>
      </w:tblGrid>
      <w:tr w:rsidR="00DA6674" w:rsidRPr="00E91891" w:rsidTr="00E5576A">
        <w:trPr>
          <w:trHeight w:val="280"/>
        </w:trPr>
        <w:tc>
          <w:tcPr>
            <w:tcW w:w="8794" w:type="dxa"/>
            <w:vAlign w:val="bottom"/>
          </w:tcPr>
          <w:p w:rsidR="00DA6674" w:rsidRPr="00E91891" w:rsidRDefault="00DA6674" w:rsidP="00E5576A">
            <w:pPr>
              <w:spacing w:after="0"/>
              <w:rPr>
                <w:rFonts w:ascii="Times New Roman" w:hAnsi="Times New Roman"/>
                <w:sz w:val="28"/>
                <w:szCs w:val="28"/>
              </w:rPr>
            </w:pPr>
            <w:r w:rsidRPr="00E91891">
              <w:rPr>
                <w:rFonts w:ascii="Times New Roman" w:hAnsi="Times New Roman"/>
                <w:sz w:val="28"/>
                <w:szCs w:val="28"/>
              </w:rPr>
              <w:t>ВВЕДЕНИЕ</w:t>
            </w:r>
          </w:p>
        </w:tc>
        <w:tc>
          <w:tcPr>
            <w:tcW w:w="851" w:type="dxa"/>
            <w:vAlign w:val="bottom"/>
          </w:tcPr>
          <w:p w:rsidR="00DA6674" w:rsidRPr="00E91891" w:rsidRDefault="00DA6674" w:rsidP="00E5576A">
            <w:pPr>
              <w:spacing w:after="0"/>
              <w:jc w:val="right"/>
              <w:rPr>
                <w:rFonts w:ascii="Times New Roman" w:hAnsi="Times New Roman"/>
                <w:snapToGrid w:val="0"/>
                <w:sz w:val="28"/>
                <w:szCs w:val="28"/>
              </w:rPr>
            </w:pPr>
            <w:r w:rsidRPr="00E91891">
              <w:rPr>
                <w:rFonts w:ascii="Times New Roman" w:hAnsi="Times New Roman"/>
                <w:snapToGrid w:val="0"/>
                <w:sz w:val="28"/>
                <w:szCs w:val="28"/>
              </w:rPr>
              <w:t>3</w:t>
            </w:r>
          </w:p>
        </w:tc>
      </w:tr>
      <w:tr w:rsidR="00DA6674" w:rsidRPr="00E91891" w:rsidTr="00E5576A">
        <w:trPr>
          <w:trHeight w:val="460"/>
        </w:trPr>
        <w:tc>
          <w:tcPr>
            <w:tcW w:w="8794" w:type="dxa"/>
            <w:vAlign w:val="bottom"/>
          </w:tcPr>
          <w:p w:rsidR="00DA6674" w:rsidRPr="00E91891" w:rsidRDefault="00DA6674" w:rsidP="00DA6674">
            <w:pPr>
              <w:numPr>
                <w:ilvl w:val="0"/>
                <w:numId w:val="2"/>
              </w:numPr>
              <w:spacing w:after="0"/>
              <w:ind w:left="431" w:hanging="357"/>
              <w:rPr>
                <w:rFonts w:ascii="Times New Roman" w:hAnsi="Times New Roman"/>
                <w:sz w:val="28"/>
                <w:szCs w:val="28"/>
              </w:rPr>
            </w:pPr>
            <w:r w:rsidRPr="00E91891">
              <w:rPr>
                <w:rFonts w:ascii="Times New Roman" w:hAnsi="Times New Roman"/>
                <w:sz w:val="28"/>
                <w:szCs w:val="28"/>
              </w:rPr>
              <w:t xml:space="preserve">Характеристика Ханты-Мансийского автономного округа – Югры </w:t>
            </w:r>
          </w:p>
        </w:tc>
        <w:tc>
          <w:tcPr>
            <w:tcW w:w="851" w:type="dxa"/>
            <w:vAlign w:val="bottom"/>
          </w:tcPr>
          <w:p w:rsidR="00DA6674" w:rsidRPr="00E91891" w:rsidRDefault="009F642B" w:rsidP="00E5576A">
            <w:pPr>
              <w:spacing w:after="0"/>
              <w:jc w:val="right"/>
              <w:rPr>
                <w:rFonts w:ascii="Times New Roman" w:hAnsi="Times New Roman"/>
                <w:snapToGrid w:val="0"/>
                <w:sz w:val="28"/>
                <w:szCs w:val="28"/>
              </w:rPr>
            </w:pPr>
            <w:r>
              <w:rPr>
                <w:rFonts w:ascii="Times New Roman" w:hAnsi="Times New Roman"/>
                <w:snapToGrid w:val="0"/>
                <w:sz w:val="28"/>
                <w:szCs w:val="28"/>
              </w:rPr>
              <w:t>6</w:t>
            </w:r>
          </w:p>
        </w:tc>
      </w:tr>
      <w:tr w:rsidR="00DA6674" w:rsidRPr="00E91891" w:rsidTr="00E5576A">
        <w:trPr>
          <w:trHeight w:val="296"/>
        </w:trPr>
        <w:tc>
          <w:tcPr>
            <w:tcW w:w="8794" w:type="dxa"/>
            <w:vAlign w:val="bottom"/>
          </w:tcPr>
          <w:p w:rsidR="00DA6674" w:rsidRPr="00E91891" w:rsidRDefault="00DA6674" w:rsidP="00DA6674">
            <w:pPr>
              <w:numPr>
                <w:ilvl w:val="0"/>
                <w:numId w:val="2"/>
              </w:numPr>
              <w:spacing w:after="0"/>
              <w:ind w:left="431" w:hanging="357"/>
              <w:jc w:val="both"/>
              <w:rPr>
                <w:rFonts w:ascii="Times New Roman" w:hAnsi="Times New Roman"/>
                <w:snapToGrid w:val="0"/>
                <w:sz w:val="28"/>
                <w:szCs w:val="28"/>
              </w:rPr>
            </w:pPr>
            <w:r w:rsidRPr="00E91891">
              <w:rPr>
                <w:rFonts w:ascii="Times New Roman" w:hAnsi="Times New Roman"/>
                <w:sz w:val="28"/>
                <w:szCs w:val="28"/>
              </w:rPr>
              <w:t>Анализ, оценка и динамика уровня и структуры незаконного потребления наркотиков в</w:t>
            </w:r>
            <w:r w:rsidRPr="00E91891">
              <w:rPr>
                <w:rFonts w:ascii="Times New Roman" w:hAnsi="Times New Roman"/>
                <w:sz w:val="28"/>
                <w:szCs w:val="28"/>
                <w:lang/>
              </w:rPr>
              <w:t>Ханты-Мансийско</w:t>
            </w:r>
            <w:r w:rsidRPr="00E91891">
              <w:rPr>
                <w:rFonts w:ascii="Times New Roman" w:hAnsi="Times New Roman"/>
                <w:sz w:val="28"/>
                <w:szCs w:val="28"/>
                <w:lang/>
              </w:rPr>
              <w:t>м</w:t>
            </w:r>
            <w:r w:rsidRPr="00E91891">
              <w:rPr>
                <w:rFonts w:ascii="Times New Roman" w:hAnsi="Times New Roman"/>
                <w:sz w:val="28"/>
                <w:szCs w:val="28"/>
                <w:lang/>
              </w:rPr>
              <w:t xml:space="preserve"> автономно</w:t>
            </w:r>
            <w:r w:rsidRPr="00E91891">
              <w:rPr>
                <w:rFonts w:ascii="Times New Roman" w:hAnsi="Times New Roman"/>
                <w:sz w:val="28"/>
                <w:szCs w:val="28"/>
                <w:lang/>
              </w:rPr>
              <w:t>м</w:t>
            </w:r>
            <w:r w:rsidRPr="00E91891">
              <w:rPr>
                <w:rFonts w:ascii="Times New Roman" w:hAnsi="Times New Roman"/>
                <w:sz w:val="28"/>
                <w:szCs w:val="28"/>
                <w:lang/>
              </w:rPr>
              <w:t xml:space="preserve"> округ</w:t>
            </w:r>
            <w:r w:rsidRPr="00E91891">
              <w:rPr>
                <w:rFonts w:ascii="Times New Roman" w:hAnsi="Times New Roman"/>
                <w:sz w:val="28"/>
                <w:szCs w:val="28"/>
                <w:lang/>
              </w:rPr>
              <w:t>е</w:t>
            </w:r>
            <w:r w:rsidRPr="00E91891">
              <w:rPr>
                <w:rFonts w:ascii="Times New Roman" w:hAnsi="Times New Roman"/>
                <w:sz w:val="28"/>
                <w:szCs w:val="28"/>
                <w:lang/>
              </w:rPr>
              <w:t xml:space="preserve"> – Югр</w:t>
            </w:r>
            <w:r w:rsidRPr="00E91891">
              <w:rPr>
                <w:rFonts w:ascii="Times New Roman" w:hAnsi="Times New Roman"/>
                <w:sz w:val="28"/>
                <w:szCs w:val="28"/>
                <w:lang/>
              </w:rPr>
              <w:t>е</w:t>
            </w:r>
          </w:p>
        </w:tc>
        <w:tc>
          <w:tcPr>
            <w:tcW w:w="851" w:type="dxa"/>
            <w:vAlign w:val="bottom"/>
          </w:tcPr>
          <w:p w:rsidR="00DA6674" w:rsidRPr="00B80A95" w:rsidRDefault="00DA6674" w:rsidP="003C18B9">
            <w:pPr>
              <w:spacing w:after="0"/>
              <w:jc w:val="right"/>
              <w:rPr>
                <w:rFonts w:ascii="Times New Roman" w:hAnsi="Times New Roman"/>
                <w:snapToGrid w:val="0"/>
                <w:color w:val="FF0000"/>
                <w:sz w:val="28"/>
                <w:szCs w:val="28"/>
              </w:rPr>
            </w:pPr>
            <w:r w:rsidRPr="008A12CA">
              <w:rPr>
                <w:rFonts w:ascii="Times New Roman" w:hAnsi="Times New Roman"/>
                <w:snapToGrid w:val="0"/>
                <w:color w:val="000000" w:themeColor="text1"/>
                <w:sz w:val="28"/>
                <w:szCs w:val="28"/>
              </w:rPr>
              <w:t>1</w:t>
            </w:r>
            <w:r w:rsidR="003C18B9">
              <w:rPr>
                <w:rFonts w:ascii="Times New Roman" w:hAnsi="Times New Roman"/>
                <w:snapToGrid w:val="0"/>
                <w:color w:val="000000" w:themeColor="text1"/>
                <w:sz w:val="28"/>
                <w:szCs w:val="28"/>
              </w:rPr>
              <w:t>2</w:t>
            </w:r>
            <w:bookmarkStart w:id="0" w:name="_GoBack"/>
            <w:bookmarkEnd w:id="0"/>
          </w:p>
        </w:tc>
      </w:tr>
      <w:tr w:rsidR="00DA6674" w:rsidRPr="00E91891" w:rsidTr="00E5576A">
        <w:trPr>
          <w:trHeight w:val="183"/>
        </w:trPr>
        <w:tc>
          <w:tcPr>
            <w:tcW w:w="8794" w:type="dxa"/>
            <w:vAlign w:val="bottom"/>
          </w:tcPr>
          <w:p w:rsidR="00DA6674" w:rsidRPr="00E91891" w:rsidRDefault="00DA6674" w:rsidP="00DA6674">
            <w:pPr>
              <w:numPr>
                <w:ilvl w:val="0"/>
                <w:numId w:val="2"/>
              </w:numPr>
              <w:spacing w:after="0"/>
              <w:ind w:left="431" w:hanging="357"/>
              <w:jc w:val="both"/>
              <w:rPr>
                <w:rFonts w:ascii="Times New Roman" w:hAnsi="Times New Roman"/>
                <w:snapToGrid w:val="0"/>
                <w:sz w:val="28"/>
                <w:szCs w:val="28"/>
              </w:rPr>
            </w:pPr>
            <w:r w:rsidRPr="00E91891">
              <w:rPr>
                <w:rFonts w:ascii="Times New Roman" w:hAnsi="Times New Roman"/>
                <w:snapToGrid w:val="0"/>
                <w:sz w:val="28"/>
                <w:szCs w:val="28"/>
              </w:rPr>
              <w:t>Оценка состояния и доступности наркологической медицинской помощи, медико-социальной реабилитации, социальных услуг и ресоциализации лицам, потребляющим наркотики в немедицинских целях</w:t>
            </w:r>
          </w:p>
        </w:tc>
        <w:tc>
          <w:tcPr>
            <w:tcW w:w="851" w:type="dxa"/>
            <w:vAlign w:val="bottom"/>
          </w:tcPr>
          <w:p w:rsidR="00DA6674" w:rsidRPr="00B80A95" w:rsidRDefault="00DA6674" w:rsidP="00E5576A">
            <w:pPr>
              <w:spacing w:after="0"/>
              <w:jc w:val="right"/>
              <w:rPr>
                <w:rFonts w:ascii="Times New Roman" w:hAnsi="Times New Roman"/>
                <w:snapToGrid w:val="0"/>
                <w:color w:val="FF0000"/>
                <w:sz w:val="28"/>
                <w:szCs w:val="28"/>
              </w:rPr>
            </w:pPr>
            <w:r w:rsidRPr="00B80A95">
              <w:rPr>
                <w:rFonts w:ascii="Times New Roman" w:hAnsi="Times New Roman"/>
                <w:snapToGrid w:val="0"/>
                <w:color w:val="FF0000"/>
                <w:sz w:val="28"/>
                <w:szCs w:val="28"/>
              </w:rPr>
              <w:t>35</w:t>
            </w:r>
          </w:p>
        </w:tc>
      </w:tr>
      <w:tr w:rsidR="00DA6674" w:rsidRPr="00E91891" w:rsidTr="00E5576A">
        <w:trPr>
          <w:trHeight w:val="272"/>
        </w:trPr>
        <w:tc>
          <w:tcPr>
            <w:tcW w:w="8794" w:type="dxa"/>
            <w:vAlign w:val="bottom"/>
          </w:tcPr>
          <w:p w:rsidR="00DA6674" w:rsidRPr="00E91891" w:rsidRDefault="00DA6674" w:rsidP="00DA6674">
            <w:pPr>
              <w:numPr>
                <w:ilvl w:val="0"/>
                <w:numId w:val="2"/>
              </w:numPr>
              <w:spacing w:after="0"/>
              <w:ind w:left="431" w:hanging="357"/>
              <w:jc w:val="both"/>
              <w:rPr>
                <w:rFonts w:ascii="Times New Roman" w:hAnsi="Times New Roman"/>
                <w:sz w:val="28"/>
                <w:szCs w:val="28"/>
              </w:rPr>
            </w:pPr>
            <w:r w:rsidRPr="00E91891">
              <w:rPr>
                <w:rFonts w:ascii="Times New Roman" w:hAnsi="Times New Roman"/>
                <w:sz w:val="28"/>
                <w:szCs w:val="28"/>
              </w:rPr>
              <w:t>Анализ, оценка и динамикарезультатов деятельности в сфере профилактики немедицинского потребления наркотиков</w:t>
            </w:r>
          </w:p>
        </w:tc>
        <w:tc>
          <w:tcPr>
            <w:tcW w:w="851" w:type="dxa"/>
            <w:vAlign w:val="bottom"/>
          </w:tcPr>
          <w:p w:rsidR="00DA6674" w:rsidRPr="00B80A95" w:rsidRDefault="00DA6674" w:rsidP="00E5576A">
            <w:pPr>
              <w:spacing w:after="0"/>
              <w:jc w:val="right"/>
              <w:rPr>
                <w:rFonts w:ascii="Times New Roman" w:hAnsi="Times New Roman"/>
                <w:snapToGrid w:val="0"/>
                <w:color w:val="FF0000"/>
                <w:sz w:val="28"/>
                <w:szCs w:val="28"/>
              </w:rPr>
            </w:pPr>
            <w:r w:rsidRPr="00B80A95">
              <w:rPr>
                <w:rFonts w:ascii="Times New Roman" w:hAnsi="Times New Roman"/>
                <w:snapToGrid w:val="0"/>
                <w:color w:val="FF0000"/>
                <w:sz w:val="28"/>
                <w:szCs w:val="28"/>
              </w:rPr>
              <w:t>45</w:t>
            </w:r>
          </w:p>
        </w:tc>
      </w:tr>
      <w:tr w:rsidR="00DA6674" w:rsidRPr="00E91891" w:rsidTr="00E5576A">
        <w:tc>
          <w:tcPr>
            <w:tcW w:w="8794" w:type="dxa"/>
            <w:vAlign w:val="bottom"/>
          </w:tcPr>
          <w:p w:rsidR="00DA6674" w:rsidRPr="00E91891" w:rsidRDefault="00DA6674" w:rsidP="00DA6674">
            <w:pPr>
              <w:numPr>
                <w:ilvl w:val="0"/>
                <w:numId w:val="2"/>
              </w:numPr>
              <w:spacing w:after="0"/>
              <w:ind w:left="431" w:hanging="357"/>
              <w:jc w:val="both"/>
              <w:rPr>
                <w:rFonts w:ascii="Times New Roman" w:hAnsi="Times New Roman"/>
                <w:sz w:val="28"/>
                <w:szCs w:val="28"/>
              </w:rPr>
            </w:pPr>
            <w:r w:rsidRPr="00E91891">
              <w:rPr>
                <w:rFonts w:ascii="Times New Roman" w:hAnsi="Times New Roman"/>
                <w:sz w:val="28"/>
                <w:szCs w:val="28"/>
              </w:rPr>
              <w:t>Анализ, оценка и динамика ситуации в сфере противодействия незаконному обороту наркотиков</w:t>
            </w:r>
          </w:p>
        </w:tc>
        <w:tc>
          <w:tcPr>
            <w:tcW w:w="851" w:type="dxa"/>
            <w:vAlign w:val="bottom"/>
          </w:tcPr>
          <w:p w:rsidR="00DA6674" w:rsidRPr="00B80A95" w:rsidRDefault="00DA6674" w:rsidP="00E5576A">
            <w:pPr>
              <w:spacing w:after="0"/>
              <w:jc w:val="right"/>
              <w:rPr>
                <w:rFonts w:ascii="Times New Roman" w:hAnsi="Times New Roman"/>
                <w:snapToGrid w:val="0"/>
                <w:color w:val="FF0000"/>
                <w:sz w:val="28"/>
                <w:szCs w:val="28"/>
              </w:rPr>
            </w:pPr>
            <w:r w:rsidRPr="00B80A95">
              <w:rPr>
                <w:rFonts w:ascii="Times New Roman" w:hAnsi="Times New Roman"/>
                <w:snapToGrid w:val="0"/>
                <w:color w:val="FF0000"/>
                <w:sz w:val="28"/>
                <w:szCs w:val="28"/>
              </w:rPr>
              <w:t>56</w:t>
            </w:r>
          </w:p>
        </w:tc>
      </w:tr>
      <w:tr w:rsidR="00DA6674" w:rsidRPr="00E91891" w:rsidTr="00E5576A">
        <w:tc>
          <w:tcPr>
            <w:tcW w:w="8794" w:type="dxa"/>
            <w:vAlign w:val="bottom"/>
          </w:tcPr>
          <w:p w:rsidR="00DA6674" w:rsidRPr="00E91891" w:rsidRDefault="00DA6674" w:rsidP="00DA6674">
            <w:pPr>
              <w:numPr>
                <w:ilvl w:val="0"/>
                <w:numId w:val="2"/>
              </w:numPr>
              <w:spacing w:after="0"/>
              <w:ind w:left="431" w:hanging="357"/>
              <w:jc w:val="both"/>
              <w:rPr>
                <w:rFonts w:ascii="Times New Roman" w:hAnsi="Times New Roman"/>
                <w:sz w:val="28"/>
                <w:szCs w:val="28"/>
              </w:rPr>
            </w:pPr>
            <w:r w:rsidRPr="00E91891">
              <w:rPr>
                <w:rFonts w:ascii="Times New Roman" w:hAnsi="Times New Roman"/>
                <w:sz w:val="28"/>
                <w:szCs w:val="28"/>
              </w:rPr>
              <w:t>Оценка реализации государственных антинаркотических программ</w:t>
            </w:r>
          </w:p>
        </w:tc>
        <w:tc>
          <w:tcPr>
            <w:tcW w:w="851" w:type="dxa"/>
            <w:vAlign w:val="bottom"/>
          </w:tcPr>
          <w:p w:rsidR="00DA6674" w:rsidRPr="00B80A95" w:rsidRDefault="00DA6674" w:rsidP="00E5576A">
            <w:pPr>
              <w:spacing w:after="0"/>
              <w:jc w:val="right"/>
              <w:rPr>
                <w:rFonts w:ascii="Times New Roman" w:hAnsi="Times New Roman"/>
                <w:snapToGrid w:val="0"/>
                <w:color w:val="FF0000"/>
                <w:sz w:val="28"/>
                <w:szCs w:val="28"/>
              </w:rPr>
            </w:pPr>
            <w:r w:rsidRPr="00B80A95">
              <w:rPr>
                <w:rFonts w:ascii="Times New Roman" w:hAnsi="Times New Roman"/>
                <w:snapToGrid w:val="0"/>
                <w:color w:val="FF0000"/>
                <w:sz w:val="28"/>
                <w:szCs w:val="28"/>
              </w:rPr>
              <w:t>72</w:t>
            </w:r>
          </w:p>
        </w:tc>
      </w:tr>
      <w:tr w:rsidR="00DA6674" w:rsidRPr="00E91891" w:rsidTr="00E5576A">
        <w:tc>
          <w:tcPr>
            <w:tcW w:w="8794" w:type="dxa"/>
            <w:vAlign w:val="bottom"/>
          </w:tcPr>
          <w:p w:rsidR="00DA6674" w:rsidRPr="00E91891" w:rsidRDefault="00DA6674" w:rsidP="00DA6674">
            <w:pPr>
              <w:numPr>
                <w:ilvl w:val="0"/>
                <w:numId w:val="2"/>
              </w:numPr>
              <w:spacing w:after="0"/>
              <w:ind w:left="431" w:hanging="357"/>
              <w:jc w:val="both"/>
              <w:rPr>
                <w:rFonts w:ascii="Times New Roman" w:hAnsi="Times New Roman"/>
                <w:sz w:val="28"/>
                <w:szCs w:val="28"/>
              </w:rPr>
            </w:pPr>
            <w:r w:rsidRPr="00E91891">
              <w:rPr>
                <w:rFonts w:ascii="Times New Roman" w:hAnsi="Times New Roman"/>
                <w:sz w:val="28"/>
                <w:szCs w:val="28"/>
              </w:rPr>
              <w:t>Оценка состояния наркоситуациивХанты-Мансийском автономном округе – Югре (по муниципальным образованиям) в соответствии с Критериями оценки развития наркоситуации</w:t>
            </w:r>
          </w:p>
        </w:tc>
        <w:tc>
          <w:tcPr>
            <w:tcW w:w="851" w:type="dxa"/>
            <w:vAlign w:val="bottom"/>
          </w:tcPr>
          <w:p w:rsidR="00DA6674" w:rsidRPr="00B80A95" w:rsidRDefault="00DA6674" w:rsidP="00E5576A">
            <w:pPr>
              <w:spacing w:after="0"/>
              <w:jc w:val="right"/>
              <w:rPr>
                <w:rFonts w:ascii="Times New Roman" w:hAnsi="Times New Roman"/>
                <w:snapToGrid w:val="0"/>
                <w:color w:val="FF0000"/>
                <w:sz w:val="28"/>
                <w:szCs w:val="28"/>
              </w:rPr>
            </w:pPr>
            <w:r w:rsidRPr="00B80A95">
              <w:rPr>
                <w:rFonts w:ascii="Times New Roman" w:hAnsi="Times New Roman"/>
                <w:snapToGrid w:val="0"/>
                <w:color w:val="FF0000"/>
                <w:sz w:val="28"/>
                <w:szCs w:val="28"/>
              </w:rPr>
              <w:t>78</w:t>
            </w:r>
          </w:p>
        </w:tc>
      </w:tr>
      <w:tr w:rsidR="00DA6674" w:rsidRPr="00E91891" w:rsidTr="00E5576A">
        <w:tc>
          <w:tcPr>
            <w:tcW w:w="8794" w:type="dxa"/>
            <w:vAlign w:val="bottom"/>
          </w:tcPr>
          <w:p w:rsidR="00DA6674" w:rsidRPr="00E91891" w:rsidRDefault="00DA6674" w:rsidP="00DA6674">
            <w:pPr>
              <w:numPr>
                <w:ilvl w:val="0"/>
                <w:numId w:val="2"/>
              </w:numPr>
              <w:spacing w:after="0"/>
              <w:ind w:left="431" w:hanging="357"/>
              <w:jc w:val="both"/>
              <w:rPr>
                <w:rFonts w:ascii="Times New Roman" w:hAnsi="Times New Roman"/>
                <w:sz w:val="28"/>
                <w:szCs w:val="28"/>
              </w:rPr>
            </w:pPr>
            <w:r w:rsidRPr="00E91891">
              <w:rPr>
                <w:rFonts w:ascii="Times New Roman" w:hAnsi="Times New Roman"/>
                <w:sz w:val="28"/>
                <w:szCs w:val="28"/>
              </w:rPr>
              <w:t xml:space="preserve"> Краткосрочное прогнозирование динамики дальнейшего развития наркоситуации.</w:t>
            </w:r>
          </w:p>
        </w:tc>
        <w:tc>
          <w:tcPr>
            <w:tcW w:w="851" w:type="dxa"/>
            <w:vAlign w:val="bottom"/>
          </w:tcPr>
          <w:p w:rsidR="00DA6674" w:rsidRPr="00B80A95" w:rsidRDefault="00DA6674" w:rsidP="00E5576A">
            <w:pPr>
              <w:spacing w:after="0"/>
              <w:jc w:val="right"/>
              <w:rPr>
                <w:rFonts w:ascii="Times New Roman" w:hAnsi="Times New Roman"/>
                <w:snapToGrid w:val="0"/>
                <w:color w:val="FF0000"/>
                <w:sz w:val="28"/>
                <w:szCs w:val="28"/>
              </w:rPr>
            </w:pPr>
            <w:r w:rsidRPr="00B80A95">
              <w:rPr>
                <w:rFonts w:ascii="Times New Roman" w:hAnsi="Times New Roman"/>
                <w:snapToGrid w:val="0"/>
                <w:color w:val="FF0000"/>
                <w:sz w:val="28"/>
                <w:szCs w:val="28"/>
              </w:rPr>
              <w:t>87</w:t>
            </w:r>
          </w:p>
        </w:tc>
      </w:tr>
      <w:tr w:rsidR="00DA6674" w:rsidRPr="00E91891" w:rsidTr="00E5576A">
        <w:tc>
          <w:tcPr>
            <w:tcW w:w="8794" w:type="dxa"/>
            <w:vAlign w:val="bottom"/>
          </w:tcPr>
          <w:p w:rsidR="00DA6674" w:rsidRPr="00E91891" w:rsidRDefault="00DA6674" w:rsidP="00DA6674">
            <w:pPr>
              <w:numPr>
                <w:ilvl w:val="0"/>
                <w:numId w:val="2"/>
              </w:numPr>
              <w:spacing w:after="0"/>
              <w:ind w:left="431" w:hanging="357"/>
              <w:jc w:val="both"/>
              <w:rPr>
                <w:rFonts w:ascii="Times New Roman" w:hAnsi="Times New Roman"/>
                <w:sz w:val="28"/>
                <w:szCs w:val="28"/>
              </w:rPr>
            </w:pPr>
            <w:r w:rsidRPr="00E91891">
              <w:rPr>
                <w:rFonts w:ascii="Times New Roman" w:hAnsi="Times New Roman"/>
                <w:sz w:val="28"/>
                <w:szCs w:val="28"/>
              </w:rPr>
              <w:t>Управленческие решения и предложения по изменению наркоситуации в субъекте Российской Федерации и в Российской Федерации</w:t>
            </w:r>
          </w:p>
        </w:tc>
        <w:tc>
          <w:tcPr>
            <w:tcW w:w="851" w:type="dxa"/>
            <w:vAlign w:val="bottom"/>
          </w:tcPr>
          <w:p w:rsidR="00DA6674" w:rsidRPr="00B80A95" w:rsidRDefault="00DA6674" w:rsidP="00E5576A">
            <w:pPr>
              <w:spacing w:after="0"/>
              <w:jc w:val="right"/>
              <w:rPr>
                <w:rFonts w:ascii="Times New Roman" w:hAnsi="Times New Roman"/>
                <w:snapToGrid w:val="0"/>
                <w:color w:val="FF0000"/>
                <w:sz w:val="28"/>
                <w:szCs w:val="28"/>
              </w:rPr>
            </w:pPr>
            <w:r w:rsidRPr="00B80A95">
              <w:rPr>
                <w:rFonts w:ascii="Times New Roman" w:hAnsi="Times New Roman"/>
                <w:snapToGrid w:val="0"/>
                <w:color w:val="FF0000"/>
                <w:sz w:val="28"/>
                <w:szCs w:val="28"/>
              </w:rPr>
              <w:t>88</w:t>
            </w:r>
          </w:p>
        </w:tc>
      </w:tr>
      <w:tr w:rsidR="00DA6674" w:rsidRPr="00E91891" w:rsidTr="00E5576A">
        <w:tc>
          <w:tcPr>
            <w:tcW w:w="8794" w:type="dxa"/>
            <w:vAlign w:val="bottom"/>
          </w:tcPr>
          <w:p w:rsidR="00DA6674" w:rsidRPr="00E91891" w:rsidRDefault="00DA6674" w:rsidP="00E5576A">
            <w:pPr>
              <w:spacing w:after="0"/>
              <w:ind w:right="-108"/>
              <w:rPr>
                <w:rFonts w:ascii="Times New Roman" w:hAnsi="Times New Roman"/>
                <w:snapToGrid w:val="0"/>
                <w:sz w:val="28"/>
                <w:szCs w:val="28"/>
              </w:rPr>
            </w:pPr>
            <w:r w:rsidRPr="00E91891">
              <w:rPr>
                <w:rFonts w:ascii="Times New Roman" w:hAnsi="Times New Roman"/>
                <w:snapToGrid w:val="0"/>
                <w:sz w:val="28"/>
                <w:szCs w:val="28"/>
              </w:rPr>
              <w:t>Приложения:</w:t>
            </w:r>
          </w:p>
        </w:tc>
        <w:tc>
          <w:tcPr>
            <w:tcW w:w="851" w:type="dxa"/>
            <w:vAlign w:val="bottom"/>
          </w:tcPr>
          <w:p w:rsidR="00DA6674" w:rsidRPr="00E91891" w:rsidRDefault="00DA6674" w:rsidP="00E5576A">
            <w:pPr>
              <w:spacing w:after="0"/>
              <w:jc w:val="right"/>
              <w:rPr>
                <w:rFonts w:ascii="Times New Roman" w:hAnsi="Times New Roman"/>
                <w:snapToGrid w:val="0"/>
                <w:sz w:val="28"/>
                <w:szCs w:val="28"/>
              </w:rPr>
            </w:pPr>
          </w:p>
        </w:tc>
      </w:tr>
      <w:tr w:rsidR="00DA6674" w:rsidRPr="00E91891" w:rsidTr="00E5576A">
        <w:tc>
          <w:tcPr>
            <w:tcW w:w="8794" w:type="dxa"/>
            <w:vAlign w:val="bottom"/>
          </w:tcPr>
          <w:p w:rsidR="00DA6674" w:rsidRPr="00E91891" w:rsidRDefault="00DA6674" w:rsidP="00E5576A">
            <w:pPr>
              <w:spacing w:after="0"/>
              <w:ind w:right="-108"/>
              <w:rPr>
                <w:rFonts w:ascii="Times New Roman" w:hAnsi="Times New Roman"/>
                <w:snapToGrid w:val="0"/>
                <w:sz w:val="28"/>
                <w:szCs w:val="28"/>
              </w:rPr>
            </w:pPr>
            <w:r w:rsidRPr="00E91891">
              <w:rPr>
                <w:rFonts w:ascii="Times New Roman" w:hAnsi="Times New Roman"/>
                <w:snapToGrid w:val="0"/>
                <w:sz w:val="28"/>
                <w:szCs w:val="28"/>
              </w:rPr>
              <w:t>1. Результаты социологического исследования</w:t>
            </w:r>
          </w:p>
        </w:tc>
        <w:tc>
          <w:tcPr>
            <w:tcW w:w="851" w:type="dxa"/>
            <w:vAlign w:val="bottom"/>
          </w:tcPr>
          <w:p w:rsidR="00DA6674" w:rsidRPr="00E91891" w:rsidRDefault="00DA6674" w:rsidP="00E5576A">
            <w:pPr>
              <w:spacing w:after="0"/>
              <w:jc w:val="right"/>
              <w:rPr>
                <w:rFonts w:ascii="Times New Roman" w:hAnsi="Times New Roman"/>
                <w:snapToGrid w:val="0"/>
                <w:sz w:val="28"/>
                <w:szCs w:val="28"/>
              </w:rPr>
            </w:pPr>
          </w:p>
        </w:tc>
      </w:tr>
      <w:tr w:rsidR="00DA6674" w:rsidRPr="00E91891" w:rsidTr="00E5576A">
        <w:tc>
          <w:tcPr>
            <w:tcW w:w="8794" w:type="dxa"/>
            <w:vAlign w:val="bottom"/>
          </w:tcPr>
          <w:p w:rsidR="00DA6674" w:rsidRPr="00E91891" w:rsidRDefault="00DA6674" w:rsidP="00E5576A">
            <w:pPr>
              <w:spacing w:after="0"/>
              <w:ind w:right="-108"/>
              <w:rPr>
                <w:rFonts w:ascii="Times New Roman" w:hAnsi="Times New Roman"/>
                <w:snapToGrid w:val="0"/>
                <w:sz w:val="28"/>
                <w:szCs w:val="28"/>
              </w:rPr>
            </w:pPr>
            <w:r w:rsidRPr="00E91891">
              <w:rPr>
                <w:rFonts w:ascii="Times New Roman" w:hAnsi="Times New Roman"/>
                <w:snapToGrid w:val="0"/>
                <w:sz w:val="28"/>
                <w:szCs w:val="28"/>
              </w:rPr>
              <w:t>2. Таблицы статистических данных</w:t>
            </w:r>
          </w:p>
        </w:tc>
        <w:tc>
          <w:tcPr>
            <w:tcW w:w="851" w:type="dxa"/>
            <w:vAlign w:val="bottom"/>
          </w:tcPr>
          <w:p w:rsidR="00DA6674" w:rsidRPr="00E91891" w:rsidRDefault="00DA6674" w:rsidP="00E5576A">
            <w:pPr>
              <w:spacing w:after="0"/>
              <w:jc w:val="right"/>
              <w:rPr>
                <w:rFonts w:ascii="Times New Roman" w:hAnsi="Times New Roman"/>
                <w:snapToGrid w:val="0"/>
                <w:sz w:val="28"/>
                <w:szCs w:val="28"/>
              </w:rPr>
            </w:pPr>
          </w:p>
        </w:tc>
      </w:tr>
      <w:tr w:rsidR="00DA6674" w:rsidRPr="00E91891" w:rsidTr="00E5576A">
        <w:trPr>
          <w:trHeight w:val="80"/>
        </w:trPr>
        <w:tc>
          <w:tcPr>
            <w:tcW w:w="8794" w:type="dxa"/>
            <w:vAlign w:val="bottom"/>
          </w:tcPr>
          <w:p w:rsidR="00DA6674" w:rsidRPr="00E91891" w:rsidRDefault="00DA6674" w:rsidP="00E5576A">
            <w:pPr>
              <w:spacing w:after="0"/>
              <w:ind w:right="-108"/>
              <w:rPr>
                <w:rFonts w:ascii="Times New Roman" w:hAnsi="Times New Roman"/>
                <w:snapToGrid w:val="0"/>
                <w:sz w:val="28"/>
                <w:szCs w:val="28"/>
              </w:rPr>
            </w:pPr>
            <w:r w:rsidRPr="00E91891">
              <w:rPr>
                <w:rFonts w:ascii="Times New Roman" w:hAnsi="Times New Roman"/>
                <w:snapToGrid w:val="0"/>
                <w:sz w:val="28"/>
                <w:szCs w:val="28"/>
              </w:rPr>
              <w:t>3. Оценка развития наркоситуации</w:t>
            </w:r>
          </w:p>
        </w:tc>
        <w:tc>
          <w:tcPr>
            <w:tcW w:w="851" w:type="dxa"/>
            <w:vAlign w:val="bottom"/>
          </w:tcPr>
          <w:p w:rsidR="00DA6674" w:rsidRPr="00E91891" w:rsidRDefault="00DA6674" w:rsidP="00E5576A">
            <w:pPr>
              <w:spacing w:after="0"/>
              <w:jc w:val="right"/>
              <w:rPr>
                <w:rFonts w:ascii="Times New Roman" w:hAnsi="Times New Roman"/>
                <w:snapToGrid w:val="0"/>
                <w:sz w:val="28"/>
                <w:szCs w:val="28"/>
              </w:rPr>
            </w:pPr>
          </w:p>
        </w:tc>
      </w:tr>
      <w:tr w:rsidR="00DA6674" w:rsidRPr="00E91891" w:rsidTr="00E5576A">
        <w:trPr>
          <w:trHeight w:val="89"/>
        </w:trPr>
        <w:tc>
          <w:tcPr>
            <w:tcW w:w="8794" w:type="dxa"/>
            <w:vAlign w:val="bottom"/>
          </w:tcPr>
          <w:p w:rsidR="00DA6674" w:rsidRPr="00E91891" w:rsidRDefault="00DA6674" w:rsidP="00E5576A">
            <w:pPr>
              <w:spacing w:after="0"/>
              <w:ind w:right="-108"/>
              <w:jc w:val="both"/>
              <w:rPr>
                <w:rFonts w:ascii="Times New Roman" w:hAnsi="Times New Roman"/>
                <w:snapToGrid w:val="0"/>
                <w:sz w:val="28"/>
                <w:szCs w:val="28"/>
              </w:rPr>
            </w:pPr>
            <w:r w:rsidRPr="00E91891">
              <w:rPr>
                <w:rFonts w:ascii="Times New Roman" w:hAnsi="Times New Roman"/>
                <w:snapToGrid w:val="0"/>
                <w:sz w:val="28"/>
                <w:szCs w:val="28"/>
              </w:rPr>
              <w:t>4. Графическое изображение наркоситуации на карте Ханты- Мансийского автономного округа – Югры</w:t>
            </w:r>
          </w:p>
        </w:tc>
        <w:tc>
          <w:tcPr>
            <w:tcW w:w="851" w:type="dxa"/>
            <w:vAlign w:val="bottom"/>
          </w:tcPr>
          <w:p w:rsidR="00DA6674" w:rsidRPr="00E91891" w:rsidRDefault="00DA6674" w:rsidP="00E5576A">
            <w:pPr>
              <w:spacing w:after="0"/>
              <w:jc w:val="right"/>
              <w:rPr>
                <w:rFonts w:ascii="Times New Roman" w:hAnsi="Times New Roman"/>
                <w:snapToGrid w:val="0"/>
                <w:sz w:val="28"/>
                <w:szCs w:val="28"/>
              </w:rPr>
            </w:pPr>
          </w:p>
        </w:tc>
      </w:tr>
    </w:tbl>
    <w:p w:rsidR="00DA6674" w:rsidRPr="00656390" w:rsidRDefault="00DA6674" w:rsidP="00DA6674">
      <w:pPr>
        <w:spacing w:after="0"/>
        <w:jc w:val="center"/>
        <w:rPr>
          <w:rFonts w:ascii="Times New Roman" w:hAnsi="Times New Roman"/>
          <w:b/>
          <w:sz w:val="28"/>
          <w:szCs w:val="28"/>
        </w:rPr>
      </w:pPr>
    </w:p>
    <w:p w:rsidR="00DA6674" w:rsidRPr="00656390" w:rsidRDefault="00DA6674" w:rsidP="00DA6674">
      <w:pPr>
        <w:spacing w:after="0"/>
        <w:rPr>
          <w:rFonts w:ascii="Times New Roman" w:hAnsi="Times New Roman"/>
          <w:b/>
          <w:color w:val="FF0000"/>
          <w:sz w:val="28"/>
          <w:szCs w:val="28"/>
        </w:rPr>
      </w:pPr>
    </w:p>
    <w:p w:rsidR="00DA6674" w:rsidRPr="00656390" w:rsidRDefault="00DA6674" w:rsidP="00DA6674">
      <w:pPr>
        <w:spacing w:after="0"/>
        <w:rPr>
          <w:rFonts w:ascii="Times New Roman" w:hAnsi="Times New Roman"/>
          <w:b/>
          <w:color w:val="FF0000"/>
          <w:sz w:val="28"/>
          <w:szCs w:val="28"/>
        </w:rPr>
      </w:pPr>
    </w:p>
    <w:p w:rsidR="00DA6674" w:rsidRPr="00656390" w:rsidRDefault="00DA6674" w:rsidP="00DA6674">
      <w:pPr>
        <w:spacing w:after="0"/>
        <w:rPr>
          <w:rFonts w:ascii="Times New Roman" w:hAnsi="Times New Roman"/>
          <w:b/>
          <w:color w:val="FF0000"/>
          <w:sz w:val="28"/>
          <w:szCs w:val="28"/>
        </w:rPr>
      </w:pPr>
    </w:p>
    <w:p w:rsidR="00DA6674" w:rsidRDefault="00DA6674" w:rsidP="00DA6674">
      <w:pPr>
        <w:spacing w:after="0"/>
        <w:jc w:val="center"/>
        <w:rPr>
          <w:rFonts w:ascii="Times New Roman" w:hAnsi="Times New Roman"/>
          <w:color w:val="FF0000"/>
          <w:sz w:val="28"/>
          <w:szCs w:val="28"/>
        </w:rPr>
      </w:pPr>
    </w:p>
    <w:p w:rsidR="000E6E5E" w:rsidRDefault="000E6E5E" w:rsidP="00DA6674">
      <w:pPr>
        <w:spacing w:after="0"/>
        <w:jc w:val="center"/>
        <w:rPr>
          <w:rFonts w:ascii="Times New Roman" w:hAnsi="Times New Roman"/>
          <w:color w:val="FF0000"/>
          <w:sz w:val="28"/>
          <w:szCs w:val="28"/>
        </w:rPr>
      </w:pPr>
    </w:p>
    <w:p w:rsidR="000E6E5E" w:rsidRPr="00656390" w:rsidRDefault="000E6E5E" w:rsidP="00DA6674">
      <w:pPr>
        <w:spacing w:after="0"/>
        <w:jc w:val="center"/>
        <w:rPr>
          <w:rFonts w:ascii="Times New Roman" w:hAnsi="Times New Roman"/>
          <w:color w:val="FF0000"/>
          <w:sz w:val="28"/>
          <w:szCs w:val="28"/>
        </w:rPr>
      </w:pPr>
    </w:p>
    <w:p w:rsidR="00DA6674" w:rsidRPr="00656390" w:rsidRDefault="00DA6674" w:rsidP="00DA6674">
      <w:pPr>
        <w:spacing w:after="0"/>
        <w:jc w:val="center"/>
        <w:rPr>
          <w:rFonts w:ascii="Times New Roman" w:hAnsi="Times New Roman"/>
          <w:color w:val="FF0000"/>
          <w:sz w:val="28"/>
          <w:szCs w:val="28"/>
        </w:rPr>
      </w:pPr>
    </w:p>
    <w:p w:rsidR="00DA6674" w:rsidRPr="00656390" w:rsidRDefault="00DA6674" w:rsidP="00DA6674">
      <w:pPr>
        <w:spacing w:after="0"/>
        <w:jc w:val="center"/>
        <w:rPr>
          <w:rFonts w:ascii="Times New Roman" w:hAnsi="Times New Roman"/>
          <w:color w:val="FF0000"/>
          <w:sz w:val="28"/>
          <w:szCs w:val="28"/>
        </w:rPr>
      </w:pPr>
    </w:p>
    <w:p w:rsidR="00DA6674" w:rsidRPr="00656390" w:rsidRDefault="00DA6674" w:rsidP="00DA6674">
      <w:pPr>
        <w:spacing w:after="0"/>
        <w:jc w:val="center"/>
        <w:rPr>
          <w:rFonts w:ascii="Times New Roman" w:hAnsi="Times New Roman"/>
          <w:color w:val="FF0000"/>
          <w:sz w:val="28"/>
          <w:szCs w:val="28"/>
        </w:rPr>
      </w:pPr>
    </w:p>
    <w:p w:rsidR="00DA6674" w:rsidRPr="007D2AA1" w:rsidRDefault="00DA6674" w:rsidP="00DA6674">
      <w:pPr>
        <w:spacing w:after="0" w:line="360" w:lineRule="auto"/>
        <w:jc w:val="center"/>
        <w:rPr>
          <w:rFonts w:ascii="Times New Roman" w:hAnsi="Times New Roman"/>
          <w:sz w:val="28"/>
          <w:szCs w:val="28"/>
        </w:rPr>
      </w:pPr>
      <w:r w:rsidRPr="007D2AA1">
        <w:rPr>
          <w:rFonts w:ascii="Times New Roman" w:hAnsi="Times New Roman"/>
          <w:sz w:val="28"/>
          <w:szCs w:val="28"/>
        </w:rPr>
        <w:lastRenderedPageBreak/>
        <w:t>ВВЕДЕНИЕ</w:t>
      </w:r>
    </w:p>
    <w:p w:rsidR="00DA6674" w:rsidRPr="004D4ADB" w:rsidRDefault="00DA6674" w:rsidP="00501885">
      <w:pPr>
        <w:pStyle w:val="bodytxt"/>
        <w:spacing w:before="0" w:beforeAutospacing="0" w:after="0" w:afterAutospacing="0" w:line="276" w:lineRule="auto"/>
        <w:ind w:firstLine="709"/>
        <w:jc w:val="both"/>
        <w:rPr>
          <w:sz w:val="21"/>
          <w:szCs w:val="21"/>
          <w:shd w:val="clear" w:color="auto" w:fill="FFFFFF"/>
        </w:rPr>
      </w:pPr>
      <w:r w:rsidRPr="007D2AA1">
        <w:rPr>
          <w:kern w:val="36"/>
          <w:sz w:val="28"/>
          <w:szCs w:val="28"/>
        </w:rPr>
        <w:t>В «</w:t>
      </w:r>
      <w:r w:rsidRPr="00E87981">
        <w:rPr>
          <w:kern w:val="36"/>
          <w:sz w:val="28"/>
          <w:szCs w:val="28"/>
        </w:rPr>
        <w:t>Конвенци</w:t>
      </w:r>
      <w:r w:rsidRPr="007D2AA1">
        <w:rPr>
          <w:kern w:val="36"/>
          <w:sz w:val="28"/>
          <w:szCs w:val="28"/>
        </w:rPr>
        <w:t>и</w:t>
      </w:r>
      <w:r w:rsidRPr="00E87981">
        <w:rPr>
          <w:kern w:val="36"/>
          <w:sz w:val="28"/>
          <w:szCs w:val="28"/>
        </w:rPr>
        <w:t xml:space="preserve"> о борьбе против незаконного оборота наркотических средств и психотропных веществ</w:t>
      </w:r>
      <w:r w:rsidRPr="007D2AA1">
        <w:rPr>
          <w:kern w:val="36"/>
          <w:sz w:val="28"/>
          <w:szCs w:val="28"/>
        </w:rPr>
        <w:t>» подчеркивается необходимость скоординированных действий против наркотиков: «</w:t>
      </w:r>
      <w:r w:rsidRPr="007D2AA1">
        <w:rPr>
          <w:sz w:val="28"/>
          <w:szCs w:val="28"/>
          <w:shd w:val="clear" w:color="auto" w:fill="FFFFFF"/>
        </w:rPr>
        <w:t xml:space="preserve">Угроза наркотиков в современном мире слишком велика, чтобы с ней могли справиться отдельные личности, которые не готовы в полной мере нести ответственность за поколения сегодняшнего и завтрашнего дня». Государства должны принимать надлежащие меры, включая законодательные, административные, социальные и образовательные меры, с целью защиты граждан от незаконного употребления наркотических средств и психотропных веществ, указанных в соответствующих международных соглашениях, а также предотвращать использование детей и молодежи в незаконном изготовлении и распространении данных веществ. Целью государственной антинаркотической политики является утверждение в обществе здорового и безопасного образа жизни на основе формирования позитивных и жизнеутверждающих (альтернативных наркомании, токсикомании, алкоголизму) ценностей и идеалов, духовности и нравственности, </w:t>
      </w:r>
      <w:r w:rsidRPr="004D4ADB">
        <w:rPr>
          <w:sz w:val="28"/>
          <w:szCs w:val="28"/>
          <w:shd w:val="clear" w:color="auto" w:fill="FFFFFF"/>
        </w:rPr>
        <w:t>гражданственности и патриотизма, уважения к закону.</w:t>
      </w:r>
      <w:r w:rsidRPr="004D4ADB">
        <w:rPr>
          <w:sz w:val="21"/>
          <w:szCs w:val="21"/>
          <w:shd w:val="clear" w:color="auto" w:fill="FFFFFF"/>
        </w:rPr>
        <w:t> </w:t>
      </w:r>
    </w:p>
    <w:p w:rsidR="00DA6674" w:rsidRPr="00A917E9" w:rsidRDefault="00DA6674" w:rsidP="00501885">
      <w:pPr>
        <w:shd w:val="clear" w:color="auto" w:fill="FFFFFF"/>
        <w:spacing w:after="0"/>
        <w:jc w:val="both"/>
        <w:rPr>
          <w:rFonts w:ascii="Times New Roman" w:hAnsi="Times New Roman"/>
          <w:bCs/>
          <w:spacing w:val="-14"/>
          <w:sz w:val="28"/>
          <w:szCs w:val="28"/>
        </w:rPr>
      </w:pPr>
      <w:r w:rsidRPr="004D4ADB">
        <w:rPr>
          <w:rFonts w:ascii="Times New Roman" w:hAnsi="Times New Roman"/>
          <w:sz w:val="28"/>
          <w:szCs w:val="28"/>
          <w:shd w:val="clear" w:color="auto" w:fill="FEFEFE"/>
        </w:rPr>
        <w:tab/>
        <w:t xml:space="preserve">В </w:t>
      </w:r>
      <w:r w:rsidRPr="004D4ADB">
        <w:rPr>
          <w:rFonts w:ascii="Times New Roman" w:hAnsi="Times New Roman"/>
          <w:noProof/>
          <w:sz w:val="28"/>
          <w:szCs w:val="28"/>
        </w:rPr>
        <w:t xml:space="preserve">Российской Федерации </w:t>
      </w:r>
      <w:r w:rsidRPr="004D4ADB">
        <w:rPr>
          <w:rFonts w:ascii="Times New Roman" w:hAnsi="Times New Roman"/>
          <w:sz w:val="28"/>
          <w:szCs w:val="28"/>
          <w:shd w:val="clear" w:color="auto" w:fill="FEFEFE"/>
        </w:rPr>
        <w:t>принята Стратегия государственной антинаркотической политики Российской Федерации до 2020 года</w:t>
      </w:r>
      <w:r w:rsidRPr="004D4ADB">
        <w:rPr>
          <w:rFonts w:ascii="Times New Roman" w:hAnsi="Times New Roman"/>
          <w:sz w:val="28"/>
          <w:szCs w:val="28"/>
          <w:shd w:val="clear" w:color="auto" w:fill="FEFEFE"/>
          <w:vertAlign w:val="superscript"/>
        </w:rPr>
        <w:footnoteReference w:id="2"/>
      </w:r>
      <w:r w:rsidRPr="004D4ADB">
        <w:rPr>
          <w:rFonts w:ascii="Times New Roman" w:hAnsi="Times New Roman"/>
          <w:sz w:val="28"/>
          <w:szCs w:val="28"/>
          <w:shd w:val="clear" w:color="auto" w:fill="FEFEFE"/>
        </w:rPr>
        <w:t xml:space="preserve">, </w:t>
      </w:r>
      <w:r w:rsidRPr="004D4ADB">
        <w:rPr>
          <w:rFonts w:ascii="Times New Roman" w:hAnsi="Times New Roman"/>
          <w:bCs/>
          <w:spacing w:val="2"/>
          <w:sz w:val="28"/>
          <w:szCs w:val="28"/>
        </w:rPr>
        <w:t xml:space="preserve"> г</w:t>
      </w:r>
      <w:r w:rsidRPr="004D4ADB">
        <w:rPr>
          <w:rFonts w:ascii="Times New Roman" w:hAnsi="Times New Roman"/>
          <w:bCs/>
          <w:spacing w:val="5"/>
          <w:sz w:val="28"/>
          <w:szCs w:val="28"/>
        </w:rPr>
        <w:t>осударственная программа Российской Федерации «Противо</w:t>
      </w:r>
      <w:r w:rsidRPr="004D4ADB">
        <w:rPr>
          <w:rFonts w:ascii="Times New Roman" w:hAnsi="Times New Roman"/>
          <w:bCs/>
          <w:spacing w:val="1"/>
          <w:sz w:val="28"/>
          <w:szCs w:val="28"/>
        </w:rPr>
        <w:t xml:space="preserve">действие незаконному обороту наркотиков» на 2013-2020 годы. </w:t>
      </w:r>
      <w:r w:rsidRPr="004D4ADB">
        <w:rPr>
          <w:rFonts w:ascii="Times New Roman" w:hAnsi="Times New Roman"/>
          <w:bCs/>
          <w:spacing w:val="-2"/>
          <w:sz w:val="28"/>
          <w:szCs w:val="28"/>
        </w:rPr>
        <w:t xml:space="preserve">В </w:t>
      </w:r>
      <w:r w:rsidRPr="004D4ADB">
        <w:rPr>
          <w:rFonts w:ascii="Times New Roman" w:hAnsi="Times New Roman"/>
          <w:spacing w:val="5"/>
          <w:sz w:val="28"/>
          <w:szCs w:val="28"/>
        </w:rPr>
        <w:t>Федеральном законе«О наркотических средствах и псих</w:t>
      </w:r>
      <w:r w:rsidRPr="004D4ADB">
        <w:rPr>
          <w:rFonts w:ascii="Times New Roman" w:hAnsi="Times New Roman"/>
          <w:bCs/>
          <w:spacing w:val="5"/>
          <w:sz w:val="28"/>
          <w:szCs w:val="28"/>
        </w:rPr>
        <w:t>о</w:t>
      </w:r>
      <w:r w:rsidRPr="004D4ADB">
        <w:rPr>
          <w:rFonts w:ascii="Times New Roman" w:hAnsi="Times New Roman"/>
          <w:spacing w:val="3"/>
          <w:sz w:val="28"/>
          <w:szCs w:val="28"/>
        </w:rPr>
        <w:t>тропных веществах»</w:t>
      </w:r>
      <w:r w:rsidRPr="004D4ADB">
        <w:rPr>
          <w:rFonts w:ascii="Times New Roman" w:hAnsi="Times New Roman"/>
          <w:bCs/>
          <w:spacing w:val="3"/>
          <w:sz w:val="28"/>
          <w:szCs w:val="28"/>
        </w:rPr>
        <w:t xml:space="preserve"> определены основные задачи</w:t>
      </w:r>
      <w:r w:rsidRPr="004D4ADB">
        <w:rPr>
          <w:rFonts w:ascii="Times New Roman" w:hAnsi="Times New Roman"/>
          <w:bCs/>
          <w:spacing w:val="-2"/>
          <w:sz w:val="28"/>
          <w:szCs w:val="28"/>
        </w:rPr>
        <w:t>: п</w:t>
      </w:r>
      <w:r w:rsidRPr="004D4ADB">
        <w:rPr>
          <w:rFonts w:ascii="Times New Roman" w:hAnsi="Times New Roman"/>
          <w:bCs/>
          <w:spacing w:val="3"/>
          <w:sz w:val="28"/>
          <w:szCs w:val="28"/>
        </w:rPr>
        <w:t xml:space="preserve">овышение уровня знаний общества об опасностях, связанных с </w:t>
      </w:r>
      <w:r w:rsidRPr="004D4ADB">
        <w:rPr>
          <w:rFonts w:ascii="Times New Roman" w:hAnsi="Times New Roman"/>
          <w:bCs/>
          <w:sz w:val="28"/>
          <w:szCs w:val="28"/>
        </w:rPr>
        <w:t>потреблением наркотиков; р</w:t>
      </w:r>
      <w:r w:rsidRPr="004D4ADB">
        <w:rPr>
          <w:rFonts w:ascii="Times New Roman" w:hAnsi="Times New Roman"/>
          <w:bCs/>
          <w:spacing w:val="-1"/>
          <w:sz w:val="28"/>
          <w:szCs w:val="28"/>
        </w:rPr>
        <w:t xml:space="preserve">азработка и внедрение профилактических мер, направленных на </w:t>
      </w:r>
      <w:r w:rsidRPr="004D4ADB">
        <w:rPr>
          <w:rFonts w:ascii="Times New Roman" w:hAnsi="Times New Roman"/>
          <w:bCs/>
          <w:spacing w:val="9"/>
          <w:sz w:val="28"/>
          <w:szCs w:val="28"/>
        </w:rPr>
        <w:t xml:space="preserve">формирование у несовершеннолетних и молодежи неприятия </w:t>
      </w:r>
      <w:r w:rsidRPr="004D4ADB">
        <w:rPr>
          <w:rFonts w:ascii="Times New Roman" w:hAnsi="Times New Roman"/>
          <w:bCs/>
          <w:spacing w:val="-1"/>
          <w:sz w:val="28"/>
          <w:szCs w:val="28"/>
        </w:rPr>
        <w:t>наркотиков; п</w:t>
      </w:r>
      <w:r w:rsidRPr="004D4ADB">
        <w:rPr>
          <w:rFonts w:ascii="Times New Roman" w:hAnsi="Times New Roman"/>
          <w:bCs/>
          <w:sz w:val="28"/>
          <w:szCs w:val="28"/>
        </w:rPr>
        <w:t>ротиводействие незаконному обороту наркотиков; п</w:t>
      </w:r>
      <w:r w:rsidRPr="004D4ADB">
        <w:rPr>
          <w:rFonts w:ascii="Times New Roman" w:hAnsi="Times New Roman"/>
          <w:bCs/>
          <w:spacing w:val="-1"/>
          <w:sz w:val="28"/>
          <w:szCs w:val="28"/>
        </w:rPr>
        <w:t>равовые и оперативно-служебные меры по предотвращению не</w:t>
      </w:r>
      <w:r w:rsidRPr="004D4ADB">
        <w:rPr>
          <w:rFonts w:ascii="Times New Roman" w:hAnsi="Times New Roman"/>
          <w:bCs/>
          <w:spacing w:val="2"/>
          <w:sz w:val="28"/>
          <w:szCs w:val="28"/>
        </w:rPr>
        <w:t>законного изготовления, импорта, экспорта, оборота, распро</w:t>
      </w:r>
      <w:r w:rsidRPr="004D4ADB">
        <w:rPr>
          <w:rFonts w:ascii="Times New Roman" w:hAnsi="Times New Roman"/>
          <w:bCs/>
          <w:spacing w:val="7"/>
          <w:sz w:val="28"/>
          <w:szCs w:val="28"/>
        </w:rPr>
        <w:t xml:space="preserve">странения и утечки из законных каналов в сферу незаконного </w:t>
      </w:r>
      <w:r w:rsidRPr="004D4ADB">
        <w:rPr>
          <w:rFonts w:ascii="Times New Roman" w:hAnsi="Times New Roman"/>
          <w:bCs/>
          <w:spacing w:val="-1"/>
          <w:sz w:val="28"/>
          <w:szCs w:val="28"/>
        </w:rPr>
        <w:t>оборота наркотиков; в</w:t>
      </w:r>
      <w:r w:rsidRPr="004D4ADB">
        <w:rPr>
          <w:rFonts w:ascii="Times New Roman" w:hAnsi="Times New Roman"/>
          <w:bCs/>
          <w:spacing w:val="4"/>
          <w:sz w:val="28"/>
          <w:szCs w:val="28"/>
        </w:rPr>
        <w:t xml:space="preserve">ыполнение программ правоохранительной </w:t>
      </w:r>
      <w:r w:rsidRPr="00A917E9">
        <w:rPr>
          <w:rFonts w:ascii="Times New Roman" w:hAnsi="Times New Roman"/>
          <w:bCs/>
          <w:spacing w:val="4"/>
          <w:sz w:val="28"/>
          <w:szCs w:val="28"/>
        </w:rPr>
        <w:t>деятельности и ис</w:t>
      </w:r>
      <w:r w:rsidRPr="00A917E9">
        <w:rPr>
          <w:rFonts w:ascii="Times New Roman" w:hAnsi="Times New Roman"/>
          <w:bCs/>
          <w:spacing w:val="2"/>
          <w:sz w:val="28"/>
          <w:szCs w:val="28"/>
        </w:rPr>
        <w:t>коренение незаконного культивирования</w:t>
      </w:r>
      <w:r w:rsidRPr="00A917E9">
        <w:rPr>
          <w:rFonts w:ascii="Times New Roman" w:hAnsi="Times New Roman"/>
          <w:bCs/>
          <w:sz w:val="28"/>
          <w:szCs w:val="28"/>
        </w:rPr>
        <w:t>; международное сотрудничество.</w:t>
      </w:r>
    </w:p>
    <w:p w:rsidR="00DA6674" w:rsidRPr="00A917E9" w:rsidRDefault="00DA6674" w:rsidP="00501885">
      <w:pPr>
        <w:spacing w:after="0"/>
        <w:jc w:val="both"/>
        <w:rPr>
          <w:rFonts w:ascii="Times New Roman" w:hAnsi="Times New Roman"/>
          <w:sz w:val="28"/>
          <w:szCs w:val="28"/>
        </w:rPr>
      </w:pPr>
      <w:r w:rsidRPr="00A917E9">
        <w:rPr>
          <w:rFonts w:ascii="Times New Roman" w:hAnsi="Times New Roman"/>
          <w:sz w:val="28"/>
          <w:szCs w:val="28"/>
          <w:shd w:val="clear" w:color="auto" w:fill="FEFEFE"/>
        </w:rPr>
        <w:tab/>
      </w:r>
      <w:r w:rsidRPr="00A917E9">
        <w:rPr>
          <w:rFonts w:ascii="Times New Roman" w:hAnsi="Times New Roman"/>
          <w:sz w:val="28"/>
          <w:szCs w:val="28"/>
        </w:rPr>
        <w:t xml:space="preserve">В рамках реализации стратегических задач Государственной антинаркотической политики Российской Федерации ежегодно, начиная с </w:t>
      </w:r>
      <w:r w:rsidRPr="00A917E9">
        <w:rPr>
          <w:rFonts w:ascii="Times New Roman" w:hAnsi="Times New Roman"/>
          <w:sz w:val="28"/>
          <w:szCs w:val="28"/>
        </w:rPr>
        <w:lastRenderedPageBreak/>
        <w:t>2011 года, во всех субъектах Российской Федерации по единой методике, утвержденной Государственным антинаркотическим комитетом, проводится мониторинг наркоситуации.</w:t>
      </w:r>
    </w:p>
    <w:p w:rsidR="00DA6674" w:rsidRPr="00117232" w:rsidRDefault="00DA6674" w:rsidP="00501885">
      <w:pPr>
        <w:spacing w:after="0"/>
        <w:jc w:val="both"/>
        <w:rPr>
          <w:rFonts w:ascii="Times New Roman" w:hAnsi="Times New Roman"/>
          <w:sz w:val="28"/>
          <w:szCs w:val="28"/>
        </w:rPr>
      </w:pPr>
      <w:r w:rsidRPr="00A917E9">
        <w:rPr>
          <w:rFonts w:ascii="Times New Roman" w:hAnsi="Times New Roman"/>
          <w:sz w:val="28"/>
          <w:szCs w:val="28"/>
          <w:shd w:val="clear" w:color="auto" w:fill="FEFEFE"/>
        </w:rPr>
        <w:tab/>
      </w:r>
      <w:r w:rsidRPr="00A917E9">
        <w:rPr>
          <w:rFonts w:ascii="Times New Roman" w:hAnsi="Times New Roman"/>
          <w:bCs/>
          <w:sz w:val="28"/>
          <w:szCs w:val="28"/>
        </w:rPr>
        <w:t>Совершенствованию организационного обеспечения</w:t>
      </w:r>
      <w:r>
        <w:rPr>
          <w:rFonts w:ascii="Times New Roman" w:hAnsi="Times New Roman"/>
          <w:bCs/>
          <w:sz w:val="28"/>
          <w:szCs w:val="28"/>
        </w:rPr>
        <w:t xml:space="preserve"> а</w:t>
      </w:r>
      <w:r w:rsidRPr="00A917E9">
        <w:rPr>
          <w:rFonts w:ascii="Times New Roman" w:hAnsi="Times New Roman"/>
          <w:bCs/>
          <w:sz w:val="28"/>
          <w:szCs w:val="28"/>
        </w:rPr>
        <w:t xml:space="preserve">нтинаркотической деятельности способствует: </w:t>
      </w:r>
      <w:r w:rsidRPr="00A917E9">
        <w:rPr>
          <w:rFonts w:ascii="Times New Roman" w:hAnsi="Times New Roman"/>
          <w:sz w:val="28"/>
          <w:szCs w:val="28"/>
        </w:rPr>
        <w:t xml:space="preserve">разработка и реализация федеральных и региональных государственных программ в сфере противодействия злоупотреблению наркотиков и их незаконному обороту; повышение роли антинаркотических комиссий в субъектах Российской Федерации в части законодательного закрепления обязательности исполнения решений комиссий для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хозяйствующих субъектов, зарегистрированных на территории субъекта Российской Федерации; разграничение полномочий между органами государственной власти и органами местного самоуправления по вопросам организации и осуществления мероприятий, направленных на профилактику </w:t>
      </w:r>
      <w:r w:rsidRPr="00117232">
        <w:rPr>
          <w:rFonts w:ascii="Times New Roman" w:hAnsi="Times New Roman"/>
          <w:sz w:val="28"/>
          <w:szCs w:val="28"/>
        </w:rPr>
        <w:t>немедицинского потребления наркотиков и наркопреступности, а также антинаркотической пропаганды.</w:t>
      </w:r>
    </w:p>
    <w:p w:rsidR="00DA6674" w:rsidRPr="00656390" w:rsidRDefault="00DA6674" w:rsidP="00501885">
      <w:pPr>
        <w:spacing w:after="0"/>
        <w:jc w:val="both"/>
        <w:rPr>
          <w:rFonts w:ascii="Times New Roman" w:hAnsi="Times New Roman"/>
          <w:color w:val="FF0000"/>
          <w:sz w:val="28"/>
          <w:szCs w:val="28"/>
        </w:rPr>
      </w:pPr>
      <w:r w:rsidRPr="00117232">
        <w:rPr>
          <w:rFonts w:ascii="Times New Roman" w:hAnsi="Times New Roman"/>
          <w:sz w:val="28"/>
          <w:szCs w:val="28"/>
        </w:rPr>
        <w:tab/>
        <w:t>Нормативная составляющая мониторинга постоянно совершенствуется. Настоящий мониторинг основан на третьей редакции (третий пересмотр) «Методики и порядка осуществления мониторинга, а также критериях оценки развития наркоситуации в Российской Федерации и ее субъектах», утвержденной п. 1.3 протокола заседания Государственного антинаркотического комитета от 15</w:t>
      </w:r>
      <w:r w:rsidR="00501885">
        <w:rPr>
          <w:rFonts w:ascii="Times New Roman" w:hAnsi="Times New Roman"/>
          <w:sz w:val="28"/>
          <w:szCs w:val="28"/>
        </w:rPr>
        <w:t xml:space="preserve"> февраля </w:t>
      </w:r>
      <w:r w:rsidRPr="00117232">
        <w:rPr>
          <w:rFonts w:ascii="Times New Roman" w:hAnsi="Times New Roman"/>
          <w:sz w:val="28"/>
          <w:szCs w:val="28"/>
        </w:rPr>
        <w:t>2017 года № 32 (с изменениями и дополнениями от 11 декабря 2017 года)</w:t>
      </w:r>
      <w:r w:rsidR="007D3411">
        <w:rPr>
          <w:rFonts w:ascii="Times New Roman" w:hAnsi="Times New Roman"/>
          <w:sz w:val="28"/>
          <w:szCs w:val="28"/>
        </w:rPr>
        <w:t>.</w:t>
      </w:r>
    </w:p>
    <w:p w:rsidR="00DA6674" w:rsidRPr="00FD20B3" w:rsidRDefault="00DA6674" w:rsidP="00501885">
      <w:pPr>
        <w:spacing w:after="0"/>
        <w:jc w:val="both"/>
        <w:rPr>
          <w:rFonts w:ascii="Times New Roman" w:hAnsi="Times New Roman"/>
          <w:sz w:val="28"/>
          <w:szCs w:val="28"/>
        </w:rPr>
      </w:pPr>
      <w:r w:rsidRPr="00656390">
        <w:rPr>
          <w:rFonts w:ascii="Times New Roman" w:hAnsi="Times New Roman"/>
          <w:color w:val="FF0000"/>
          <w:sz w:val="28"/>
          <w:szCs w:val="28"/>
        </w:rPr>
        <w:tab/>
      </w:r>
      <w:r w:rsidRPr="00FD20B3">
        <w:rPr>
          <w:rFonts w:ascii="Times New Roman" w:hAnsi="Times New Roman"/>
          <w:sz w:val="28"/>
          <w:szCs w:val="28"/>
        </w:rPr>
        <w:t xml:space="preserve">В 2017 году </w:t>
      </w:r>
      <w:r w:rsidR="00501885" w:rsidRPr="00501885">
        <w:rPr>
          <w:rFonts w:ascii="Times New Roman" w:eastAsia="Times New Roman" w:hAnsi="Times New Roman"/>
          <w:sz w:val="28"/>
          <w:szCs w:val="28"/>
          <w:lang w:eastAsia="ru-RU"/>
        </w:rPr>
        <w:t>основная часть мероприятий по профилактике наркомании и противодействию наркопреступности реализовывались в рамкахгосударственной программы</w:t>
      </w:r>
      <w:r w:rsidR="00501885" w:rsidRPr="00501885">
        <w:rPr>
          <w:rFonts w:ascii="Times New Roman" w:hAnsi="Times New Roman"/>
          <w:sz w:val="28"/>
          <w:szCs w:val="28"/>
        </w:rPr>
        <w:t xml:space="preserve"> Ханты-Мансийского автономного </w:t>
      </w:r>
      <w:r w:rsidR="003C18B9">
        <w:rPr>
          <w:rFonts w:ascii="Times New Roman" w:hAnsi="Times New Roman"/>
          <w:sz w:val="28"/>
          <w:szCs w:val="28"/>
        </w:rPr>
        <w:br/>
      </w:r>
      <w:r w:rsidR="00501885" w:rsidRPr="00501885">
        <w:rPr>
          <w:rFonts w:ascii="Times New Roman" w:hAnsi="Times New Roman"/>
          <w:sz w:val="28"/>
          <w:szCs w:val="28"/>
        </w:rPr>
        <w:t>округа – Югры «О государственной политике в сфере обеспечения межнационального согласия, гражданского единства, отдельных прав и законных интересов граждан, а также в вопросах обеспечения общественного порядка и профилактики экстремизма, незаконного оборота и потребления наркотических средств и психотропных веществ в Ханты-Мансийском автономном округе – Югре в 2016-2020 годах».</w:t>
      </w:r>
    </w:p>
    <w:p w:rsidR="00DA6674" w:rsidRPr="00656390" w:rsidRDefault="00DA6674" w:rsidP="00501885">
      <w:pPr>
        <w:spacing w:after="0"/>
        <w:jc w:val="both"/>
        <w:rPr>
          <w:rFonts w:ascii="Times New Roman" w:hAnsi="Times New Roman"/>
          <w:b/>
          <w:color w:val="FF0000"/>
          <w:sz w:val="28"/>
          <w:szCs w:val="28"/>
        </w:rPr>
      </w:pPr>
      <w:r w:rsidRPr="00656390">
        <w:rPr>
          <w:rFonts w:ascii="Times New Roman" w:hAnsi="Times New Roman"/>
          <w:color w:val="FF0000"/>
          <w:sz w:val="28"/>
          <w:szCs w:val="28"/>
        </w:rPr>
        <w:tab/>
      </w:r>
      <w:r w:rsidRPr="00FD20B3">
        <w:rPr>
          <w:rFonts w:ascii="Times New Roman" w:hAnsi="Times New Roman"/>
          <w:sz w:val="28"/>
          <w:szCs w:val="28"/>
        </w:rPr>
        <w:t xml:space="preserve">Информация, получаемая в ходе анализа и прогноза развития наркоситуации, позволяет фиксировать ее изменения, оценивать риски и определять приоритетные направления государственной политики </w:t>
      </w:r>
      <w:r w:rsidR="003C18B9">
        <w:rPr>
          <w:rFonts w:ascii="Times New Roman" w:hAnsi="Times New Roman"/>
          <w:sz w:val="28"/>
          <w:szCs w:val="28"/>
        </w:rPr>
        <w:br/>
      </w:r>
      <w:r w:rsidRPr="00FD20B3">
        <w:rPr>
          <w:rFonts w:ascii="Times New Roman" w:hAnsi="Times New Roman"/>
          <w:sz w:val="28"/>
          <w:szCs w:val="28"/>
        </w:rPr>
        <w:t>Ханты-Мансийского автономного округа – Югры в области противодействия распространению наркомании.</w:t>
      </w:r>
    </w:p>
    <w:p w:rsidR="00AF1412" w:rsidRPr="00A1116A" w:rsidRDefault="00AF1412" w:rsidP="0078029B">
      <w:pPr>
        <w:spacing w:after="0"/>
        <w:jc w:val="center"/>
        <w:outlineLvl w:val="0"/>
        <w:rPr>
          <w:rFonts w:ascii="Times New Roman" w:eastAsia="Times New Roman" w:hAnsi="Times New Roman"/>
          <w:b/>
          <w:color w:val="000000"/>
          <w:sz w:val="28"/>
          <w:szCs w:val="28"/>
          <w:lang w:eastAsia="ru-RU"/>
        </w:rPr>
      </w:pPr>
      <w:r w:rsidRPr="00A1116A">
        <w:rPr>
          <w:rFonts w:ascii="Times New Roman" w:eastAsia="Times New Roman" w:hAnsi="Times New Roman"/>
          <w:b/>
          <w:color w:val="000000"/>
          <w:sz w:val="28"/>
          <w:szCs w:val="28"/>
          <w:lang w:eastAsia="ru-RU"/>
        </w:rPr>
        <w:lastRenderedPageBreak/>
        <w:t>Доклад</w:t>
      </w:r>
    </w:p>
    <w:p w:rsidR="00AF1412" w:rsidRPr="00A1116A" w:rsidRDefault="00AF1412" w:rsidP="00526F55">
      <w:pPr>
        <w:spacing w:after="0"/>
        <w:jc w:val="center"/>
        <w:outlineLvl w:val="0"/>
        <w:rPr>
          <w:rFonts w:ascii="Times New Roman" w:eastAsia="Times New Roman" w:hAnsi="Times New Roman"/>
          <w:b/>
          <w:color w:val="000000"/>
          <w:sz w:val="28"/>
          <w:szCs w:val="28"/>
          <w:lang w:eastAsia="ru-RU"/>
        </w:rPr>
      </w:pPr>
      <w:r w:rsidRPr="00A1116A">
        <w:rPr>
          <w:rFonts w:ascii="Times New Roman" w:eastAsia="Times New Roman" w:hAnsi="Times New Roman"/>
          <w:b/>
          <w:color w:val="000000"/>
          <w:sz w:val="28"/>
          <w:szCs w:val="28"/>
          <w:lang w:eastAsia="ru-RU"/>
        </w:rPr>
        <w:t>о наркоситуациив Ханты-Мансийском</w:t>
      </w:r>
    </w:p>
    <w:p w:rsidR="00AF1412" w:rsidRPr="00A1116A" w:rsidRDefault="0028624B" w:rsidP="00526F55">
      <w:pPr>
        <w:spacing w:after="0"/>
        <w:jc w:val="center"/>
        <w:outlineLvl w:val="0"/>
        <w:rPr>
          <w:rFonts w:ascii="Times New Roman" w:eastAsia="Times New Roman" w:hAnsi="Times New Roman"/>
          <w:b/>
          <w:color w:val="000000"/>
          <w:sz w:val="28"/>
          <w:szCs w:val="28"/>
          <w:lang w:eastAsia="ru-RU"/>
        </w:rPr>
      </w:pPr>
      <w:r w:rsidRPr="00A1116A">
        <w:rPr>
          <w:rFonts w:ascii="Times New Roman" w:eastAsia="Times New Roman" w:hAnsi="Times New Roman"/>
          <w:b/>
          <w:color w:val="000000"/>
          <w:sz w:val="28"/>
          <w:szCs w:val="28"/>
          <w:lang w:eastAsia="ru-RU"/>
        </w:rPr>
        <w:t>автономном округе – Югре в 2017</w:t>
      </w:r>
      <w:r w:rsidR="00AF1412" w:rsidRPr="00A1116A">
        <w:rPr>
          <w:rFonts w:ascii="Times New Roman" w:eastAsia="Times New Roman" w:hAnsi="Times New Roman"/>
          <w:b/>
          <w:color w:val="000000"/>
          <w:sz w:val="28"/>
          <w:szCs w:val="28"/>
          <w:lang w:eastAsia="ru-RU"/>
        </w:rPr>
        <w:t xml:space="preserve"> году</w:t>
      </w:r>
    </w:p>
    <w:p w:rsidR="00AF1412" w:rsidRPr="00A1116A" w:rsidRDefault="00AF1412" w:rsidP="00AF1412">
      <w:pPr>
        <w:spacing w:after="0"/>
        <w:jc w:val="both"/>
        <w:rPr>
          <w:rFonts w:ascii="Times New Roman" w:eastAsia="Times New Roman" w:hAnsi="Times New Roman"/>
          <w:b/>
          <w:color w:val="000000"/>
          <w:sz w:val="28"/>
          <w:szCs w:val="28"/>
          <w:lang w:eastAsia="ru-RU"/>
        </w:rPr>
      </w:pPr>
    </w:p>
    <w:p w:rsidR="00AF1412" w:rsidRPr="00A1116A" w:rsidRDefault="00AF1412" w:rsidP="00526F55">
      <w:pPr>
        <w:spacing w:after="0"/>
        <w:ind w:firstLine="708"/>
        <w:jc w:val="both"/>
        <w:outlineLvl w:val="0"/>
        <w:rPr>
          <w:rFonts w:ascii="Times New Roman" w:eastAsia="Times New Roman" w:hAnsi="Times New Roman"/>
          <w:b/>
          <w:color w:val="000000"/>
          <w:sz w:val="28"/>
          <w:szCs w:val="28"/>
          <w:lang w:eastAsia="ru-RU"/>
        </w:rPr>
      </w:pPr>
      <w:r w:rsidRPr="00A1116A">
        <w:rPr>
          <w:rFonts w:ascii="Times New Roman" w:eastAsia="Times New Roman" w:hAnsi="Times New Roman"/>
          <w:b/>
          <w:color w:val="000000"/>
          <w:sz w:val="28"/>
          <w:szCs w:val="28"/>
          <w:lang w:eastAsia="ru-RU"/>
        </w:rPr>
        <w:t xml:space="preserve">1. Характеристика Ханты-Мансийского автономного округа </w:t>
      </w:r>
      <w:r w:rsidRPr="00A1116A">
        <w:rPr>
          <w:rFonts w:ascii="Times New Roman" w:eastAsia="Times New Roman" w:hAnsi="Times New Roman"/>
          <w:color w:val="000000"/>
          <w:sz w:val="28"/>
          <w:szCs w:val="28"/>
          <w:lang w:eastAsia="ru-RU"/>
        </w:rPr>
        <w:t>–</w:t>
      </w:r>
      <w:r w:rsidRPr="00A1116A">
        <w:rPr>
          <w:rFonts w:ascii="Times New Roman" w:eastAsia="Times New Roman" w:hAnsi="Times New Roman"/>
          <w:b/>
          <w:color w:val="000000"/>
          <w:sz w:val="28"/>
          <w:szCs w:val="28"/>
          <w:lang w:eastAsia="ru-RU"/>
        </w:rPr>
        <w:t xml:space="preserve"> Югры.</w:t>
      </w:r>
    </w:p>
    <w:p w:rsidR="00AF1412" w:rsidRPr="00A1116A" w:rsidRDefault="00AF1412" w:rsidP="00AF1412">
      <w:pPr>
        <w:spacing w:after="0"/>
        <w:jc w:val="both"/>
        <w:rPr>
          <w:rFonts w:ascii="Times New Roman" w:eastAsia="Times New Roman" w:hAnsi="Times New Roman"/>
          <w:color w:val="000000"/>
          <w:sz w:val="28"/>
          <w:szCs w:val="28"/>
          <w:lang w:eastAsia="ru-RU"/>
        </w:rPr>
      </w:pPr>
      <w:r w:rsidRPr="00A1116A">
        <w:rPr>
          <w:rFonts w:ascii="Times New Roman" w:eastAsia="Times New Roman" w:hAnsi="Times New Roman"/>
          <w:color w:val="000000"/>
          <w:sz w:val="28"/>
          <w:szCs w:val="28"/>
          <w:lang w:eastAsia="ru-RU"/>
        </w:rPr>
        <w:tab/>
        <w:t xml:space="preserve">Ханты-Мансийский автономный округ – Югра расположен в срединной части России. Он занимает центральную часть </w:t>
      </w:r>
      <w:r w:rsidR="00501885">
        <w:rPr>
          <w:rFonts w:ascii="Times New Roman" w:eastAsia="Times New Roman" w:hAnsi="Times New Roman"/>
          <w:color w:val="000000"/>
          <w:sz w:val="28"/>
          <w:szCs w:val="28"/>
          <w:lang w:eastAsia="ru-RU"/>
        </w:rPr>
        <w:br/>
      </w:r>
      <w:r w:rsidRPr="00A1116A">
        <w:rPr>
          <w:rFonts w:ascii="Times New Roman" w:eastAsia="Times New Roman" w:hAnsi="Times New Roman"/>
          <w:color w:val="000000"/>
          <w:sz w:val="28"/>
          <w:szCs w:val="28"/>
          <w:lang w:eastAsia="ru-RU"/>
        </w:rPr>
        <w:t xml:space="preserve">Западно-Сибирской равнины. На севере округ граничит с Ямало-Ненецким автономным округом, на северо-западе </w:t>
      </w:r>
      <w:r w:rsidR="00501885">
        <w:rPr>
          <w:rFonts w:ascii="Times New Roman" w:eastAsia="Times New Roman" w:hAnsi="Times New Roman"/>
          <w:color w:val="000000"/>
          <w:sz w:val="28"/>
          <w:szCs w:val="28"/>
          <w:lang w:eastAsia="ru-RU"/>
        </w:rPr>
        <w:t>–</w:t>
      </w:r>
      <w:r w:rsidRPr="00A1116A">
        <w:rPr>
          <w:rFonts w:ascii="Times New Roman" w:eastAsia="Times New Roman" w:hAnsi="Times New Roman"/>
          <w:color w:val="000000"/>
          <w:sz w:val="28"/>
          <w:szCs w:val="28"/>
          <w:lang w:eastAsia="ru-RU"/>
        </w:rPr>
        <w:t xml:space="preserve"> сРеспубликой Коми, на юго-западе со</w:t>
      </w:r>
      <w:hyperlink r:id="rId8" w:history="1"/>
      <w:r w:rsidRPr="00A1116A">
        <w:rPr>
          <w:rFonts w:ascii="Times New Roman" w:eastAsia="Times New Roman" w:hAnsi="Times New Roman"/>
          <w:color w:val="000000"/>
          <w:sz w:val="28"/>
          <w:szCs w:val="28"/>
          <w:lang w:eastAsia="ru-RU"/>
        </w:rPr>
        <w:t xml:space="preserve"> Свердловской областью, на юге </w:t>
      </w:r>
      <w:r w:rsidR="00501885">
        <w:rPr>
          <w:rFonts w:ascii="Times New Roman" w:eastAsia="Times New Roman" w:hAnsi="Times New Roman"/>
          <w:color w:val="000000"/>
          <w:sz w:val="28"/>
          <w:szCs w:val="28"/>
          <w:lang w:eastAsia="ru-RU"/>
        </w:rPr>
        <w:t>–</w:t>
      </w:r>
      <w:r w:rsidRPr="00A1116A">
        <w:rPr>
          <w:rFonts w:ascii="Times New Roman" w:eastAsia="Times New Roman" w:hAnsi="Times New Roman"/>
          <w:color w:val="000000"/>
          <w:sz w:val="28"/>
          <w:szCs w:val="28"/>
          <w:lang w:eastAsia="ru-RU"/>
        </w:rPr>
        <w:t xml:space="preserve"> сТобольским и Уватским районами Тюменской области, на юго-востоке и востоке </w:t>
      </w:r>
      <w:r w:rsidR="00501885">
        <w:rPr>
          <w:rFonts w:ascii="Times New Roman" w:eastAsia="Times New Roman" w:hAnsi="Times New Roman"/>
          <w:color w:val="000000"/>
          <w:sz w:val="28"/>
          <w:szCs w:val="28"/>
          <w:lang w:eastAsia="ru-RU"/>
        </w:rPr>
        <w:t>–</w:t>
      </w:r>
      <w:r w:rsidRPr="00A1116A">
        <w:rPr>
          <w:rFonts w:ascii="Times New Roman" w:eastAsia="Times New Roman" w:hAnsi="Times New Roman"/>
          <w:color w:val="000000"/>
          <w:sz w:val="28"/>
          <w:szCs w:val="28"/>
          <w:lang w:eastAsia="ru-RU"/>
        </w:rPr>
        <w:t xml:space="preserve"> сТомской областью и Красноярским краем.</w:t>
      </w:r>
    </w:p>
    <w:p w:rsidR="00AF1412" w:rsidRPr="005B2A9F" w:rsidRDefault="00AF1412" w:rsidP="00AF1412">
      <w:pPr>
        <w:spacing w:after="0"/>
        <w:jc w:val="both"/>
        <w:rPr>
          <w:rFonts w:ascii="Times New Roman" w:eastAsia="Times New Roman" w:hAnsi="Times New Roman"/>
          <w:color w:val="000000" w:themeColor="text1"/>
          <w:sz w:val="28"/>
          <w:szCs w:val="28"/>
          <w:lang/>
        </w:rPr>
      </w:pPr>
      <w:r w:rsidRPr="00A1116A">
        <w:rPr>
          <w:rFonts w:ascii="Times New Roman" w:eastAsia="Times New Roman" w:hAnsi="Times New Roman"/>
          <w:color w:val="000000"/>
          <w:sz w:val="28"/>
          <w:szCs w:val="28"/>
          <w:lang/>
        </w:rPr>
        <w:tab/>
      </w:r>
      <w:r w:rsidRPr="00A1116A">
        <w:rPr>
          <w:rFonts w:ascii="Times New Roman" w:eastAsia="Times New Roman" w:hAnsi="Times New Roman"/>
          <w:color w:val="000000"/>
          <w:sz w:val="28"/>
          <w:szCs w:val="28"/>
          <w:lang/>
        </w:rPr>
        <w:t xml:space="preserve">Ханты-Мансийский автономный округ – Югра входит в состав Уральского федерального округа. Административный центр округа </w:t>
      </w:r>
      <w:r w:rsidR="00501885">
        <w:rPr>
          <w:rFonts w:ascii="Times New Roman" w:eastAsia="Times New Roman" w:hAnsi="Times New Roman"/>
          <w:color w:val="000000"/>
          <w:sz w:val="28"/>
          <w:szCs w:val="28"/>
          <w:lang/>
        </w:rPr>
        <w:t>–</w:t>
      </w:r>
      <w:r w:rsidRPr="00A1116A">
        <w:rPr>
          <w:rFonts w:ascii="Times New Roman" w:eastAsia="Times New Roman" w:hAnsi="Times New Roman"/>
          <w:color w:val="000000"/>
          <w:sz w:val="28"/>
          <w:szCs w:val="28"/>
          <w:lang/>
        </w:rPr>
        <w:t xml:space="preserve"> городХанты-Мансийск.Площадь Ханты-</w:t>
      </w:r>
      <w:r w:rsidRPr="00C43217">
        <w:rPr>
          <w:rFonts w:ascii="Times New Roman" w:eastAsia="Times New Roman" w:hAnsi="Times New Roman"/>
          <w:color w:val="000000" w:themeColor="text1"/>
          <w:sz w:val="28"/>
          <w:szCs w:val="28"/>
          <w:lang/>
        </w:rPr>
        <w:t>Мансийского автономного округа – Югры составляет 534,8 тыс</w:t>
      </w:r>
      <w:r w:rsidRPr="00C43217">
        <w:rPr>
          <w:rFonts w:ascii="Times New Roman" w:eastAsia="Times New Roman" w:hAnsi="Times New Roman"/>
          <w:color w:val="000000" w:themeColor="text1"/>
          <w:sz w:val="28"/>
          <w:szCs w:val="28"/>
          <w:lang/>
        </w:rPr>
        <w:t>ячи</w:t>
      </w:r>
      <w:r w:rsidRPr="00C43217">
        <w:rPr>
          <w:rFonts w:ascii="Times New Roman" w:eastAsia="Times New Roman" w:hAnsi="Times New Roman"/>
          <w:color w:val="000000" w:themeColor="text1"/>
          <w:sz w:val="28"/>
          <w:szCs w:val="28"/>
          <w:lang/>
        </w:rPr>
        <w:t xml:space="preserve"> кв</w:t>
      </w:r>
      <w:r w:rsidRPr="00C43217">
        <w:rPr>
          <w:rFonts w:ascii="Times New Roman" w:eastAsia="Times New Roman" w:hAnsi="Times New Roman"/>
          <w:color w:val="000000" w:themeColor="text1"/>
          <w:sz w:val="28"/>
          <w:szCs w:val="28"/>
          <w:lang/>
        </w:rPr>
        <w:t xml:space="preserve">адратных </w:t>
      </w:r>
      <w:r w:rsidRPr="00C43217">
        <w:rPr>
          <w:rFonts w:ascii="Times New Roman" w:eastAsia="Times New Roman" w:hAnsi="Times New Roman"/>
          <w:color w:val="000000" w:themeColor="text1"/>
          <w:sz w:val="28"/>
          <w:szCs w:val="28"/>
          <w:lang/>
        </w:rPr>
        <w:t>к</w:t>
      </w:r>
      <w:r w:rsidRPr="00C43217">
        <w:rPr>
          <w:rFonts w:ascii="Times New Roman" w:eastAsia="Times New Roman" w:hAnsi="Times New Roman"/>
          <w:color w:val="000000" w:themeColor="text1"/>
          <w:sz w:val="28"/>
          <w:szCs w:val="28"/>
          <w:lang/>
        </w:rPr>
        <w:t>ило</w:t>
      </w:r>
      <w:r w:rsidRPr="00C43217">
        <w:rPr>
          <w:rFonts w:ascii="Times New Roman" w:eastAsia="Times New Roman" w:hAnsi="Times New Roman"/>
          <w:color w:val="000000" w:themeColor="text1"/>
          <w:sz w:val="28"/>
          <w:szCs w:val="28"/>
          <w:lang/>
        </w:rPr>
        <w:t>м</w:t>
      </w:r>
      <w:r w:rsidRPr="00C43217">
        <w:rPr>
          <w:rFonts w:ascii="Times New Roman" w:eastAsia="Times New Roman" w:hAnsi="Times New Roman"/>
          <w:color w:val="000000" w:themeColor="text1"/>
          <w:sz w:val="28"/>
          <w:szCs w:val="28"/>
          <w:lang/>
        </w:rPr>
        <w:t>етров</w:t>
      </w:r>
      <w:r w:rsidRPr="00C43217">
        <w:rPr>
          <w:rFonts w:ascii="Times New Roman" w:eastAsia="Times New Roman" w:hAnsi="Times New Roman"/>
          <w:color w:val="000000" w:themeColor="text1"/>
          <w:sz w:val="28"/>
          <w:szCs w:val="28"/>
          <w:lang/>
        </w:rPr>
        <w:t>. С юга на север он простирается на 900 к</w:t>
      </w:r>
      <w:r w:rsidRPr="00C43217">
        <w:rPr>
          <w:rFonts w:ascii="Times New Roman" w:eastAsia="Times New Roman" w:hAnsi="Times New Roman"/>
          <w:color w:val="000000" w:themeColor="text1"/>
          <w:sz w:val="28"/>
          <w:szCs w:val="28"/>
          <w:lang/>
        </w:rPr>
        <w:t>илометров,</w:t>
      </w:r>
      <w:r w:rsidRPr="00C43217">
        <w:rPr>
          <w:rFonts w:ascii="Times New Roman" w:eastAsia="Times New Roman" w:hAnsi="Times New Roman"/>
          <w:color w:val="000000" w:themeColor="text1"/>
          <w:sz w:val="28"/>
          <w:szCs w:val="28"/>
          <w:lang/>
        </w:rPr>
        <w:t xml:space="preserve"> с запада на восток </w:t>
      </w:r>
      <w:r w:rsidR="00501885">
        <w:rPr>
          <w:rFonts w:ascii="Times New Roman" w:eastAsia="Times New Roman" w:hAnsi="Times New Roman"/>
          <w:color w:val="000000" w:themeColor="text1"/>
          <w:sz w:val="28"/>
          <w:szCs w:val="28"/>
          <w:lang/>
        </w:rPr>
        <w:t>–</w:t>
      </w:r>
      <w:r w:rsidRPr="00C43217">
        <w:rPr>
          <w:rFonts w:ascii="Times New Roman" w:eastAsia="Times New Roman" w:hAnsi="Times New Roman"/>
          <w:color w:val="000000" w:themeColor="text1"/>
          <w:sz w:val="28"/>
          <w:szCs w:val="28"/>
          <w:lang/>
        </w:rPr>
        <w:t>на1400 к</w:t>
      </w:r>
      <w:r w:rsidRPr="00C43217">
        <w:rPr>
          <w:rFonts w:ascii="Times New Roman" w:eastAsia="Times New Roman" w:hAnsi="Times New Roman"/>
          <w:color w:val="000000" w:themeColor="text1"/>
          <w:sz w:val="28"/>
          <w:szCs w:val="28"/>
          <w:lang/>
        </w:rPr>
        <w:t>ило</w:t>
      </w:r>
      <w:r w:rsidRPr="00C43217">
        <w:rPr>
          <w:rFonts w:ascii="Times New Roman" w:eastAsia="Times New Roman" w:hAnsi="Times New Roman"/>
          <w:color w:val="000000" w:themeColor="text1"/>
          <w:sz w:val="28"/>
          <w:szCs w:val="28"/>
          <w:lang/>
        </w:rPr>
        <w:t>м</w:t>
      </w:r>
      <w:r w:rsidRPr="00C43217">
        <w:rPr>
          <w:rFonts w:ascii="Times New Roman" w:eastAsia="Times New Roman" w:hAnsi="Times New Roman"/>
          <w:color w:val="000000" w:themeColor="text1"/>
          <w:sz w:val="28"/>
          <w:szCs w:val="28"/>
          <w:lang/>
        </w:rPr>
        <w:t>етров</w:t>
      </w:r>
      <w:r w:rsidRPr="00C43217">
        <w:rPr>
          <w:rFonts w:ascii="Times New Roman" w:eastAsia="Times New Roman" w:hAnsi="Times New Roman"/>
          <w:color w:val="000000" w:themeColor="text1"/>
          <w:sz w:val="28"/>
          <w:szCs w:val="28"/>
          <w:lang/>
        </w:rPr>
        <w:t xml:space="preserve">. </w:t>
      </w:r>
      <w:r w:rsidR="00501885">
        <w:rPr>
          <w:rFonts w:ascii="Times New Roman" w:eastAsia="Times New Roman" w:hAnsi="Times New Roman"/>
          <w:color w:val="000000" w:themeColor="text1"/>
          <w:sz w:val="28"/>
          <w:szCs w:val="28"/>
          <w:lang/>
        </w:rPr>
        <w:br/>
      </w:r>
      <w:r w:rsidRPr="00C43217">
        <w:rPr>
          <w:rFonts w:ascii="Times New Roman" w:eastAsia="Times New Roman" w:hAnsi="Times New Roman"/>
          <w:color w:val="000000" w:themeColor="text1"/>
          <w:sz w:val="28"/>
          <w:szCs w:val="28"/>
          <w:lang/>
        </w:rPr>
        <w:t xml:space="preserve">Из городов самым большим по численности населения является </w:t>
      </w:r>
      <w:r w:rsidR="00501885">
        <w:rPr>
          <w:rFonts w:ascii="Times New Roman" w:eastAsia="Times New Roman" w:hAnsi="Times New Roman"/>
          <w:color w:val="000000" w:themeColor="text1"/>
          <w:sz w:val="28"/>
          <w:szCs w:val="28"/>
          <w:lang/>
        </w:rPr>
        <w:br/>
      </w:r>
      <w:r w:rsidRPr="00C43217">
        <w:rPr>
          <w:rFonts w:ascii="Times New Roman" w:eastAsia="Times New Roman" w:hAnsi="Times New Roman"/>
          <w:color w:val="000000" w:themeColor="text1"/>
          <w:sz w:val="28"/>
          <w:szCs w:val="28"/>
          <w:lang/>
        </w:rPr>
        <w:t xml:space="preserve">Сургут – </w:t>
      </w:r>
      <w:r w:rsidR="00C43217" w:rsidRPr="00C43217">
        <w:rPr>
          <w:rFonts w:ascii="Times New Roman" w:hAnsi="Times New Roman"/>
          <w:color w:val="000000" w:themeColor="text1"/>
          <w:sz w:val="28"/>
          <w:szCs w:val="28"/>
        </w:rPr>
        <w:t>360,59</w:t>
      </w:r>
      <w:r w:rsidRPr="00C43217">
        <w:rPr>
          <w:rFonts w:ascii="Times New Roman" w:eastAsia="Times New Roman" w:hAnsi="Times New Roman"/>
          <w:color w:val="000000" w:themeColor="text1"/>
          <w:sz w:val="28"/>
          <w:szCs w:val="28"/>
          <w:lang/>
        </w:rPr>
        <w:t>тыс</w:t>
      </w:r>
      <w:r w:rsidRPr="00C43217">
        <w:rPr>
          <w:rFonts w:ascii="Times New Roman" w:eastAsia="Times New Roman" w:hAnsi="Times New Roman"/>
          <w:color w:val="000000" w:themeColor="text1"/>
          <w:sz w:val="28"/>
          <w:szCs w:val="28"/>
          <w:lang/>
        </w:rPr>
        <w:t>ячи</w:t>
      </w:r>
      <w:r w:rsidRPr="00C43217">
        <w:rPr>
          <w:rFonts w:ascii="Times New Roman" w:eastAsia="Times New Roman" w:hAnsi="Times New Roman"/>
          <w:color w:val="000000" w:themeColor="text1"/>
          <w:sz w:val="28"/>
          <w:szCs w:val="28"/>
          <w:lang/>
        </w:rPr>
        <w:t xml:space="preserve"> человек, из районов </w:t>
      </w:r>
      <w:r w:rsidR="00501885">
        <w:rPr>
          <w:rFonts w:ascii="Times New Roman" w:eastAsia="Times New Roman" w:hAnsi="Times New Roman"/>
          <w:color w:val="000000" w:themeColor="text1"/>
          <w:sz w:val="28"/>
          <w:szCs w:val="28"/>
          <w:lang/>
        </w:rPr>
        <w:t>–</w:t>
      </w:r>
      <w:r w:rsidRPr="00C43217">
        <w:rPr>
          <w:rFonts w:ascii="Times New Roman" w:eastAsia="Times New Roman" w:hAnsi="Times New Roman"/>
          <w:color w:val="000000" w:themeColor="text1"/>
          <w:sz w:val="28"/>
          <w:szCs w:val="28"/>
          <w:lang/>
        </w:rPr>
        <w:t xml:space="preserve">Сургутский – </w:t>
      </w:r>
      <w:r w:rsidR="00C43217" w:rsidRPr="00C43217">
        <w:rPr>
          <w:rFonts w:ascii="Times New Roman" w:hAnsi="Times New Roman"/>
          <w:color w:val="000000" w:themeColor="text1"/>
          <w:sz w:val="28"/>
          <w:szCs w:val="28"/>
        </w:rPr>
        <w:t>122,69</w:t>
      </w:r>
      <w:r w:rsidRPr="00C43217">
        <w:rPr>
          <w:rFonts w:ascii="Times New Roman" w:eastAsia="Times New Roman" w:hAnsi="Times New Roman"/>
          <w:color w:val="000000" w:themeColor="text1"/>
          <w:sz w:val="28"/>
          <w:szCs w:val="28"/>
          <w:lang/>
        </w:rPr>
        <w:t xml:space="preserve"> тыс</w:t>
      </w:r>
      <w:r w:rsidRPr="00C43217">
        <w:rPr>
          <w:rFonts w:ascii="Times New Roman" w:eastAsia="Times New Roman" w:hAnsi="Times New Roman"/>
          <w:color w:val="000000" w:themeColor="text1"/>
          <w:sz w:val="28"/>
          <w:szCs w:val="28"/>
          <w:lang/>
        </w:rPr>
        <w:t>ячи</w:t>
      </w:r>
      <w:r w:rsidRPr="00C43217">
        <w:rPr>
          <w:rFonts w:ascii="Times New Roman" w:eastAsia="Times New Roman" w:hAnsi="Times New Roman"/>
          <w:color w:val="000000" w:themeColor="text1"/>
          <w:sz w:val="28"/>
          <w:szCs w:val="28"/>
          <w:lang/>
        </w:rPr>
        <w:t xml:space="preserve"> человек. По площади территории на первых местах находятся Нижневартовский – 21,9%, Сургутский – 19,7%, Березовский районы </w:t>
      </w:r>
      <w:r w:rsidR="005B2A9F">
        <w:rPr>
          <w:rFonts w:ascii="Times New Roman" w:eastAsia="Times New Roman" w:hAnsi="Times New Roman"/>
          <w:color w:val="000000" w:themeColor="text1"/>
          <w:sz w:val="28"/>
          <w:szCs w:val="28"/>
          <w:lang/>
        </w:rPr>
        <w:t>–</w:t>
      </w:r>
      <w:r w:rsidRPr="00C43217">
        <w:rPr>
          <w:rFonts w:ascii="Times New Roman" w:eastAsia="Times New Roman" w:hAnsi="Times New Roman"/>
          <w:color w:val="000000" w:themeColor="text1"/>
          <w:sz w:val="28"/>
          <w:szCs w:val="28"/>
          <w:lang/>
        </w:rPr>
        <w:t xml:space="preserve"> 16,5%</w:t>
      </w:r>
      <w:r w:rsidR="005B2A9F">
        <w:rPr>
          <w:rFonts w:ascii="Times New Roman" w:eastAsia="Times New Roman" w:hAnsi="Times New Roman"/>
          <w:color w:val="000000" w:themeColor="text1"/>
          <w:sz w:val="28"/>
          <w:szCs w:val="28"/>
          <w:lang/>
        </w:rPr>
        <w:t>.</w:t>
      </w:r>
    </w:p>
    <w:p w:rsidR="00B41743" w:rsidRPr="00EB2C79" w:rsidRDefault="00AF1412" w:rsidP="00EB2C79">
      <w:pPr>
        <w:spacing w:after="0"/>
        <w:jc w:val="both"/>
        <w:rPr>
          <w:rFonts w:ascii="Times New Roman" w:eastAsia="Times New Roman" w:hAnsi="Times New Roman"/>
          <w:color w:val="000000"/>
          <w:sz w:val="28"/>
          <w:szCs w:val="28"/>
          <w:lang/>
        </w:rPr>
      </w:pPr>
      <w:r w:rsidRPr="00C43217">
        <w:rPr>
          <w:rFonts w:ascii="Times New Roman" w:eastAsia="Times New Roman" w:hAnsi="Times New Roman"/>
          <w:color w:val="000000" w:themeColor="text1"/>
          <w:sz w:val="28"/>
          <w:szCs w:val="28"/>
          <w:lang/>
        </w:rPr>
        <w:tab/>
      </w:r>
      <w:r w:rsidRPr="00C43217">
        <w:rPr>
          <w:rFonts w:ascii="Times New Roman" w:eastAsia="Times New Roman" w:hAnsi="Times New Roman"/>
          <w:color w:val="000000" w:themeColor="text1"/>
          <w:sz w:val="28"/>
          <w:szCs w:val="28"/>
          <w:lang/>
        </w:rPr>
        <w:t>Количество муниципальных образований – 10</w:t>
      </w:r>
      <w:r w:rsidRPr="00C43217">
        <w:rPr>
          <w:rFonts w:ascii="Times New Roman" w:eastAsia="Times New Roman" w:hAnsi="Times New Roman"/>
          <w:color w:val="000000" w:themeColor="text1"/>
          <w:sz w:val="28"/>
          <w:szCs w:val="28"/>
          <w:lang/>
        </w:rPr>
        <w:t>5</w:t>
      </w:r>
      <w:r w:rsidRPr="00C43217">
        <w:rPr>
          <w:rFonts w:ascii="Times New Roman" w:eastAsia="Times New Roman" w:hAnsi="Times New Roman"/>
          <w:color w:val="000000" w:themeColor="text1"/>
          <w:sz w:val="28"/>
          <w:szCs w:val="28"/>
          <w:lang/>
        </w:rPr>
        <w:t>, в том числе: 13 городских округов (Когалым, Лангепас, Мегион, Нефтеюганск, Нижневартовск, Нягань, Покачи, Пыть-Ях, Радужный</w:t>
      </w:r>
      <w:r w:rsidRPr="005771D6">
        <w:rPr>
          <w:rFonts w:ascii="Times New Roman" w:eastAsia="Times New Roman" w:hAnsi="Times New Roman"/>
          <w:color w:val="000000"/>
          <w:sz w:val="28"/>
          <w:szCs w:val="28"/>
          <w:lang/>
        </w:rPr>
        <w:t xml:space="preserve">, Сургут, Урай, </w:t>
      </w:r>
      <w:r w:rsidR="005B2A9F">
        <w:rPr>
          <w:rFonts w:ascii="Times New Roman" w:eastAsia="Times New Roman" w:hAnsi="Times New Roman"/>
          <w:color w:val="000000"/>
          <w:sz w:val="28"/>
          <w:szCs w:val="28"/>
          <w:lang/>
        </w:rPr>
        <w:br/>
      </w:r>
      <w:r w:rsidRPr="005771D6">
        <w:rPr>
          <w:rFonts w:ascii="Times New Roman" w:eastAsia="Times New Roman" w:hAnsi="Times New Roman"/>
          <w:color w:val="000000"/>
          <w:sz w:val="28"/>
          <w:szCs w:val="28"/>
          <w:lang/>
        </w:rPr>
        <w:t xml:space="preserve">Ханты-Мансийск, Югорск); девять муниципальных районов (Белоярский, </w:t>
      </w:r>
      <w:r w:rsidRPr="00EB2C79">
        <w:rPr>
          <w:rFonts w:ascii="Times New Roman" w:eastAsia="Times New Roman" w:hAnsi="Times New Roman"/>
          <w:color w:val="000000"/>
          <w:sz w:val="28"/>
          <w:szCs w:val="28"/>
          <w:lang/>
        </w:rPr>
        <w:t>Березовский, Кондинский, Нефтеюганский, Нижневартовский, Октябрьский, Советский, Сургутский, Ханты-Мансийский); 26 городских и 5</w:t>
      </w:r>
      <w:r w:rsidRPr="00EB2C79">
        <w:rPr>
          <w:rFonts w:ascii="Times New Roman" w:eastAsia="Times New Roman" w:hAnsi="Times New Roman"/>
          <w:color w:val="000000"/>
          <w:sz w:val="28"/>
          <w:szCs w:val="28"/>
          <w:lang/>
        </w:rPr>
        <w:t>7</w:t>
      </w:r>
      <w:r w:rsidRPr="00EB2C79">
        <w:rPr>
          <w:rFonts w:ascii="Times New Roman" w:eastAsia="Times New Roman" w:hAnsi="Times New Roman"/>
          <w:color w:val="000000"/>
          <w:sz w:val="28"/>
          <w:szCs w:val="28"/>
          <w:lang/>
        </w:rPr>
        <w:t xml:space="preserve"> сельских поселений. Количество населенных пунктов – 20</w:t>
      </w:r>
      <w:r w:rsidRPr="00EB2C79">
        <w:rPr>
          <w:rFonts w:ascii="Times New Roman" w:eastAsia="Times New Roman" w:hAnsi="Times New Roman"/>
          <w:color w:val="000000"/>
          <w:sz w:val="28"/>
          <w:szCs w:val="28"/>
          <w:lang/>
        </w:rPr>
        <w:t>2</w:t>
      </w:r>
      <w:r w:rsidRPr="00EB2C79">
        <w:rPr>
          <w:rFonts w:ascii="Times New Roman" w:eastAsia="Times New Roman" w:hAnsi="Times New Roman"/>
          <w:color w:val="000000"/>
          <w:sz w:val="28"/>
          <w:szCs w:val="28"/>
          <w:lang/>
        </w:rPr>
        <w:t xml:space="preserve">. </w:t>
      </w:r>
    </w:p>
    <w:p w:rsidR="00B41743" w:rsidRPr="00EB2C79" w:rsidRDefault="00F16CD6" w:rsidP="00EB2C79">
      <w:pPr>
        <w:ind w:firstLine="709"/>
        <w:jc w:val="both"/>
        <w:rPr>
          <w:rFonts w:ascii="Times New Roman" w:eastAsia="MingLiU_HKSCS" w:hAnsi="Times New Roman"/>
          <w:sz w:val="28"/>
          <w:szCs w:val="28"/>
        </w:rPr>
      </w:pPr>
      <w:r w:rsidRPr="00EB2C79">
        <w:rPr>
          <w:rFonts w:ascii="Times New Roman" w:hAnsi="Times New Roman"/>
          <w:color w:val="000000"/>
          <w:sz w:val="28"/>
          <w:szCs w:val="28"/>
        </w:rPr>
        <w:t xml:space="preserve">По оценке Федеральной службы государственной статистики среднегодовая </w:t>
      </w:r>
      <w:r w:rsidRPr="00EB2C79">
        <w:rPr>
          <w:rFonts w:ascii="Times New Roman" w:hAnsi="Times New Roman"/>
          <w:b/>
          <w:color w:val="000000"/>
          <w:sz w:val="28"/>
          <w:szCs w:val="28"/>
        </w:rPr>
        <w:t>численность населения</w:t>
      </w:r>
      <w:r w:rsidRPr="00EB2C79">
        <w:rPr>
          <w:rFonts w:ascii="Times New Roman" w:hAnsi="Times New Roman"/>
          <w:color w:val="000000"/>
          <w:sz w:val="28"/>
          <w:szCs w:val="28"/>
        </w:rPr>
        <w:t xml:space="preserve"> Югры неуклонно растет:</w:t>
      </w:r>
      <w:r w:rsidRPr="00EB2C79">
        <w:rPr>
          <w:rFonts w:ascii="Times New Roman" w:eastAsia="MingLiU_HKSCS" w:hAnsi="Times New Roman"/>
          <w:color w:val="000000"/>
          <w:sz w:val="28"/>
          <w:szCs w:val="28"/>
        </w:rPr>
        <w:t xml:space="preserve"> на 1 января 2018 года она</w:t>
      </w:r>
      <w:r w:rsidR="00B41743" w:rsidRPr="00EB2C79">
        <w:rPr>
          <w:rFonts w:ascii="Times New Roman" w:eastAsia="MingLiU_HKSCS" w:hAnsi="Times New Roman"/>
          <w:color w:val="000000"/>
          <w:sz w:val="28"/>
          <w:szCs w:val="28"/>
        </w:rPr>
        <w:t xml:space="preserve"> составила 1654,9 тыс. человек (на 1 января 2017 года – 1646,1 тыс. </w:t>
      </w:r>
      <w:r w:rsidR="000B15C5" w:rsidRPr="00EB2C79">
        <w:rPr>
          <w:rFonts w:ascii="Times New Roman" w:eastAsia="MingLiU_HKSCS" w:hAnsi="Times New Roman"/>
          <w:color w:val="000000"/>
          <w:sz w:val="28"/>
          <w:szCs w:val="28"/>
        </w:rPr>
        <w:t>ч</w:t>
      </w:r>
      <w:r w:rsidR="00B41743" w:rsidRPr="00EB2C79">
        <w:rPr>
          <w:rFonts w:ascii="Times New Roman" w:eastAsia="MingLiU_HKSCS" w:hAnsi="Times New Roman"/>
          <w:color w:val="000000"/>
          <w:sz w:val="28"/>
          <w:szCs w:val="28"/>
        </w:rPr>
        <w:t>еловек</w:t>
      </w:r>
      <w:r w:rsidR="000B15C5" w:rsidRPr="00EB2C79">
        <w:rPr>
          <w:rFonts w:ascii="Times New Roman" w:hAnsi="Times New Roman"/>
          <w:color w:val="000000"/>
          <w:sz w:val="28"/>
          <w:szCs w:val="28"/>
        </w:rPr>
        <w:t>)</w:t>
      </w:r>
      <w:r w:rsidR="00B41743" w:rsidRPr="00EB2C79">
        <w:rPr>
          <w:rFonts w:ascii="Times New Roman" w:eastAsia="MingLiU_HKSCS" w:hAnsi="Times New Roman"/>
          <w:color w:val="000000"/>
          <w:sz w:val="28"/>
          <w:szCs w:val="28"/>
        </w:rPr>
        <w:t>, среднегодовая численность населения за 2017 год – 1650,5 тыс. человек (2016 год – 1636,4 тыс</w:t>
      </w:r>
      <w:r w:rsidR="00B41743" w:rsidRPr="00EB2C79">
        <w:rPr>
          <w:rFonts w:ascii="Times New Roman" w:eastAsia="MingLiU_HKSCS" w:hAnsi="Times New Roman"/>
          <w:sz w:val="28"/>
          <w:szCs w:val="28"/>
        </w:rPr>
        <w:t xml:space="preserve">. человек). </w:t>
      </w:r>
    </w:p>
    <w:p w:rsidR="00B41743" w:rsidRPr="00EB2C79" w:rsidRDefault="00B41743" w:rsidP="00EB2C79">
      <w:pPr>
        <w:ind w:firstLine="709"/>
        <w:jc w:val="both"/>
        <w:rPr>
          <w:rFonts w:ascii="Times New Roman" w:eastAsia="MingLiU_HKSCS" w:hAnsi="Times New Roman"/>
          <w:sz w:val="28"/>
          <w:szCs w:val="28"/>
        </w:rPr>
      </w:pPr>
      <w:r w:rsidRPr="00EB2C79">
        <w:rPr>
          <w:rFonts w:ascii="Times New Roman" w:eastAsia="MingLiU_HKSCS" w:hAnsi="Times New Roman"/>
          <w:sz w:val="28"/>
          <w:szCs w:val="28"/>
        </w:rPr>
        <w:t>Ханты-Мансийский автономный округ – Югра один из самых урбанизированных регионов России, доля городского населения составляет 92,3 %.</w:t>
      </w:r>
    </w:p>
    <w:p w:rsidR="00B41743" w:rsidRPr="00EB2C79" w:rsidRDefault="00B41743" w:rsidP="00EB2C79">
      <w:pPr>
        <w:ind w:firstLine="709"/>
        <w:jc w:val="both"/>
        <w:rPr>
          <w:rFonts w:ascii="Times New Roman" w:eastAsia="MingLiU_HKSCS" w:hAnsi="Times New Roman"/>
          <w:sz w:val="28"/>
          <w:szCs w:val="28"/>
        </w:rPr>
      </w:pPr>
      <w:r w:rsidRPr="00EB2C79">
        <w:rPr>
          <w:rFonts w:ascii="Times New Roman" w:eastAsia="MingLiU_HKSCS" w:hAnsi="Times New Roman"/>
          <w:sz w:val="28"/>
          <w:szCs w:val="28"/>
        </w:rPr>
        <w:lastRenderedPageBreak/>
        <w:t xml:space="preserve">По предварительной информации Федеральной службы государственной статистики естественный прирост населения составил 13,1 тыс. человек (январь-декабрь 2016 года – 15,6 тыс. человек).Число родившихся – 23,3 тыс. человек (январь-декабрь 2016 года – 25,7 тыс. человек).Число умерших – 10,2 тыс. человек (январь-декабрь </w:t>
      </w:r>
      <w:r w:rsidR="005B2A9F">
        <w:rPr>
          <w:rFonts w:ascii="Times New Roman" w:eastAsia="MingLiU_HKSCS" w:hAnsi="Times New Roman"/>
          <w:sz w:val="28"/>
          <w:szCs w:val="28"/>
        </w:rPr>
        <w:br/>
      </w:r>
      <w:r w:rsidRPr="00EB2C79">
        <w:rPr>
          <w:rFonts w:ascii="Times New Roman" w:eastAsia="MingLiU_HKSCS" w:hAnsi="Times New Roman"/>
          <w:sz w:val="28"/>
          <w:szCs w:val="28"/>
        </w:rPr>
        <w:t>2016 года – 10,1 тыс. человек).Рождаемость в Югре превышает смертность в 2,3 раза.</w:t>
      </w:r>
    </w:p>
    <w:p w:rsidR="00BD27C8" w:rsidRPr="00EB2C79" w:rsidRDefault="00F16CD6" w:rsidP="00EB2C79">
      <w:pPr>
        <w:ind w:firstLine="709"/>
        <w:jc w:val="both"/>
        <w:rPr>
          <w:sz w:val="28"/>
          <w:szCs w:val="28"/>
        </w:rPr>
      </w:pPr>
      <w:r w:rsidRPr="00EB2C79">
        <w:rPr>
          <w:rFonts w:ascii="Times New Roman" w:eastAsia="Times New Roman" w:hAnsi="Times New Roman"/>
          <w:color w:val="000000"/>
          <w:sz w:val="28"/>
          <w:szCs w:val="28"/>
          <w:lang/>
        </w:rPr>
        <w:t xml:space="preserve">Ханты-Мансийский автономный округ – </w:t>
      </w:r>
      <w:r w:rsidR="00B41743" w:rsidRPr="00EB2C79">
        <w:rPr>
          <w:rFonts w:ascii="Times New Roman" w:hAnsi="Times New Roman"/>
          <w:sz w:val="28"/>
          <w:szCs w:val="28"/>
        </w:rPr>
        <w:t>Ю</w:t>
      </w:r>
      <w:r w:rsidRPr="00EB2C79">
        <w:rPr>
          <w:rFonts w:ascii="Times New Roman" w:hAnsi="Times New Roman"/>
          <w:sz w:val="28"/>
          <w:szCs w:val="28"/>
        </w:rPr>
        <w:t xml:space="preserve">гра </w:t>
      </w:r>
      <w:r w:rsidR="00B41743" w:rsidRPr="00EB2C79">
        <w:rPr>
          <w:rFonts w:ascii="Times New Roman" w:hAnsi="Times New Roman"/>
          <w:sz w:val="28"/>
          <w:szCs w:val="28"/>
        </w:rPr>
        <w:t>входит в число субъектов-лидеров Российской Федерации с наилучшими демографическими показателями:по коэффициенту рождаемости 9 место с показателем 14,1 на 1000 населения (РФ – 11,5 на 1000 населения);по коэффициенту смертности 5 место с показателем 6,2 на 1000 населения (РФ – 12,4 на 1000 населения); по коэффициенту естественного прироста населения 6 место с показателем 7,9 на 1000 населения (РФ – «-0,9» на 1000 населения</w:t>
      </w:r>
      <w:r w:rsidR="00EB2C79" w:rsidRPr="00EB2C79">
        <w:rPr>
          <w:rFonts w:ascii="Times New Roman" w:hAnsi="Times New Roman"/>
          <w:sz w:val="28"/>
          <w:szCs w:val="28"/>
        </w:rPr>
        <w:t>) – рис.1.</w:t>
      </w:r>
    </w:p>
    <w:bookmarkStart w:id="1" w:name="_MON_1580321703"/>
    <w:bookmarkEnd w:id="1"/>
    <w:p w:rsidR="00BD27C8" w:rsidRDefault="00EB2C79" w:rsidP="00AF1412">
      <w:pPr>
        <w:ind w:firstLine="709"/>
        <w:jc w:val="both"/>
        <w:rPr>
          <w:rFonts w:ascii="Times New Roman" w:hAnsi="Times New Roman"/>
          <w:color w:val="FF0000"/>
          <w:sz w:val="28"/>
          <w:szCs w:val="28"/>
        </w:rPr>
      </w:pPr>
      <w:r w:rsidRPr="00526F55">
        <w:rPr>
          <w:noProof/>
          <w:color w:val="FF0000"/>
          <w:sz w:val="28"/>
          <w:szCs w:val="28"/>
          <w:lang w:eastAsia="ru-RU"/>
        </w:rPr>
        <w:object w:dxaOrig="7960" w:dyaOrig="3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15pt;height:188.35pt" o:ole="">
            <v:imagedata r:id="rId9" o:title="" cropbottom="-210f"/>
            <o:lock v:ext="edit" aspectratio="f"/>
          </v:shape>
          <o:OLEObject Type="Embed" ProgID="Excel.Sheet.8" ShapeID="_x0000_i1025" DrawAspect="Content" ObjectID="_1581847156" r:id="rId10">
            <o:FieldCodes>\s</o:FieldCodes>
          </o:OLEObject>
        </w:object>
      </w:r>
    </w:p>
    <w:p w:rsidR="00BD27C8" w:rsidRPr="003865C0" w:rsidRDefault="00BD27C8" w:rsidP="00BD27C8">
      <w:pPr>
        <w:jc w:val="both"/>
        <w:rPr>
          <w:rFonts w:ascii="Times New Roman" w:hAnsi="Times New Roman"/>
          <w:b/>
          <w:color w:val="000000"/>
          <w:sz w:val="28"/>
          <w:szCs w:val="28"/>
        </w:rPr>
      </w:pPr>
      <w:r w:rsidRPr="003865C0">
        <w:rPr>
          <w:rFonts w:ascii="Times New Roman" w:hAnsi="Times New Roman"/>
          <w:b/>
          <w:color w:val="000000"/>
          <w:sz w:val="28"/>
          <w:szCs w:val="28"/>
        </w:rPr>
        <w:t xml:space="preserve">Рис.1 Сравнительная характеристика основных демографических показателей вХанты-Мансийском автономном округе – Югре и Российской Федерации в целом за 2017 год. </w:t>
      </w:r>
    </w:p>
    <w:p w:rsidR="00757EF7" w:rsidRPr="00BC65D7" w:rsidRDefault="00331E4B" w:rsidP="009B64A5">
      <w:pPr>
        <w:widowControl w:val="0"/>
        <w:ind w:firstLine="709"/>
        <w:jc w:val="both"/>
        <w:rPr>
          <w:rFonts w:eastAsia="Courier New"/>
          <w:sz w:val="26"/>
          <w:szCs w:val="26"/>
        </w:rPr>
      </w:pPr>
      <w:r w:rsidRPr="00531E4D">
        <w:rPr>
          <w:rFonts w:ascii="Times New Roman" w:hAnsi="Times New Roman"/>
          <w:color w:val="000000"/>
          <w:sz w:val="28"/>
          <w:szCs w:val="28"/>
        </w:rPr>
        <w:t xml:space="preserve">Ханты-Мансийский автономный округ – Югра </w:t>
      </w:r>
      <w:r w:rsidR="009B64A5">
        <w:rPr>
          <w:rFonts w:ascii="Times New Roman" w:hAnsi="Times New Roman"/>
          <w:color w:val="000000"/>
          <w:sz w:val="28"/>
          <w:szCs w:val="28"/>
        </w:rPr>
        <w:t>относится кодну</w:t>
      </w:r>
      <w:r w:rsidR="00F16CD6" w:rsidRPr="00531E4D">
        <w:rPr>
          <w:rFonts w:ascii="Times New Roman" w:hAnsi="Times New Roman"/>
          <w:color w:val="000000"/>
          <w:sz w:val="28"/>
          <w:szCs w:val="28"/>
        </w:rPr>
        <w:t xml:space="preserve"> из самых «молодых» регионов Российской Федерации. Средний возраст югорчан составил 34</w:t>
      </w:r>
      <w:r w:rsidR="00F16CD6" w:rsidRPr="009B64A5">
        <w:rPr>
          <w:rFonts w:ascii="Times New Roman" w:hAnsi="Times New Roman"/>
          <w:color w:val="000000"/>
          <w:sz w:val="28"/>
          <w:szCs w:val="28"/>
        </w:rPr>
        <w:t>,4 года</w:t>
      </w:r>
      <w:r w:rsidR="009B64A5" w:rsidRPr="009B64A5">
        <w:rPr>
          <w:rFonts w:ascii="Times New Roman" w:hAnsi="Times New Roman"/>
          <w:color w:val="000000"/>
          <w:sz w:val="28"/>
          <w:szCs w:val="28"/>
        </w:rPr>
        <w:t xml:space="preserve">, </w:t>
      </w:r>
      <w:r w:rsidR="009B64A5" w:rsidRPr="009B64A5">
        <w:rPr>
          <w:rFonts w:ascii="Times New Roman" w:eastAsia="Courier New" w:hAnsi="Times New Roman"/>
          <w:sz w:val="28"/>
          <w:szCs w:val="28"/>
        </w:rPr>
        <w:t xml:space="preserve">что на 5,2 года моложе, чем средний возраст россиян </w:t>
      </w:r>
      <w:r w:rsidR="009B64A5" w:rsidRPr="009B64A5">
        <w:rPr>
          <w:rFonts w:ascii="Times New Roman" w:hAnsi="Times New Roman"/>
          <w:color w:val="000000"/>
          <w:sz w:val="28"/>
          <w:szCs w:val="28"/>
        </w:rPr>
        <w:t>(</w:t>
      </w:r>
      <w:r w:rsidR="00F16CD6" w:rsidRPr="009B64A5">
        <w:rPr>
          <w:rFonts w:ascii="Times New Roman" w:hAnsi="Times New Roman"/>
          <w:color w:val="000000"/>
          <w:sz w:val="28"/>
          <w:szCs w:val="28"/>
        </w:rPr>
        <w:t>39,6 лет).Численность молодежи на 1</w:t>
      </w:r>
      <w:r w:rsidR="005B2A9F">
        <w:rPr>
          <w:rFonts w:ascii="Times New Roman" w:hAnsi="Times New Roman"/>
          <w:color w:val="000000"/>
          <w:sz w:val="28"/>
          <w:szCs w:val="28"/>
        </w:rPr>
        <w:t xml:space="preserve"> января </w:t>
      </w:r>
      <w:r w:rsidR="00F16CD6" w:rsidRPr="009B64A5">
        <w:rPr>
          <w:rFonts w:ascii="Times New Roman" w:hAnsi="Times New Roman"/>
          <w:color w:val="000000"/>
          <w:sz w:val="28"/>
          <w:szCs w:val="28"/>
        </w:rPr>
        <w:t>2017</w:t>
      </w:r>
      <w:r w:rsidR="005B2A9F">
        <w:rPr>
          <w:rFonts w:ascii="Times New Roman" w:hAnsi="Times New Roman"/>
          <w:color w:val="000000"/>
          <w:sz w:val="28"/>
          <w:szCs w:val="28"/>
        </w:rPr>
        <w:t xml:space="preserve"> года </w:t>
      </w:r>
      <w:r w:rsidR="00F16CD6" w:rsidRPr="009B64A5">
        <w:rPr>
          <w:rFonts w:ascii="Times New Roman" w:hAnsi="Times New Roman"/>
          <w:color w:val="000000"/>
          <w:sz w:val="28"/>
          <w:szCs w:val="28"/>
        </w:rPr>
        <w:t>в возрасте 14-17 лет – 74 191 человек (</w:t>
      </w:r>
      <w:r w:rsidR="005B2A9F" w:rsidRPr="009B64A5">
        <w:rPr>
          <w:rFonts w:ascii="Times New Roman" w:hAnsi="Times New Roman"/>
          <w:color w:val="000000"/>
          <w:sz w:val="28"/>
          <w:szCs w:val="28"/>
        </w:rPr>
        <w:t>1</w:t>
      </w:r>
      <w:r w:rsidR="005B2A9F">
        <w:rPr>
          <w:rFonts w:ascii="Times New Roman" w:hAnsi="Times New Roman"/>
          <w:color w:val="000000"/>
          <w:sz w:val="28"/>
          <w:szCs w:val="28"/>
        </w:rPr>
        <w:t xml:space="preserve"> января </w:t>
      </w:r>
      <w:r w:rsidR="00F16CD6" w:rsidRPr="009B64A5">
        <w:rPr>
          <w:rFonts w:ascii="Times New Roman" w:hAnsi="Times New Roman"/>
          <w:color w:val="000000"/>
          <w:sz w:val="28"/>
          <w:szCs w:val="28"/>
        </w:rPr>
        <w:t>2016</w:t>
      </w:r>
      <w:r w:rsidR="005B2A9F">
        <w:rPr>
          <w:rFonts w:ascii="Times New Roman" w:hAnsi="Times New Roman"/>
          <w:color w:val="000000"/>
          <w:sz w:val="28"/>
          <w:szCs w:val="28"/>
        </w:rPr>
        <w:t xml:space="preserve"> года</w:t>
      </w:r>
      <w:r w:rsidR="00F16CD6" w:rsidRPr="009B64A5">
        <w:rPr>
          <w:rFonts w:ascii="Times New Roman" w:hAnsi="Times New Roman"/>
          <w:color w:val="000000"/>
          <w:sz w:val="28"/>
          <w:szCs w:val="28"/>
        </w:rPr>
        <w:t xml:space="preserve"> – 71 829 человек); в возрасте 18-30 лет – 283 314 человек (</w:t>
      </w:r>
      <w:r w:rsidR="005B2A9F" w:rsidRPr="009B64A5">
        <w:rPr>
          <w:rFonts w:ascii="Times New Roman" w:hAnsi="Times New Roman"/>
          <w:color w:val="000000"/>
          <w:sz w:val="28"/>
          <w:szCs w:val="28"/>
        </w:rPr>
        <w:t>1</w:t>
      </w:r>
      <w:r w:rsidR="005B2A9F">
        <w:rPr>
          <w:rFonts w:ascii="Times New Roman" w:hAnsi="Times New Roman"/>
          <w:color w:val="000000"/>
          <w:sz w:val="28"/>
          <w:szCs w:val="28"/>
        </w:rPr>
        <w:t xml:space="preserve"> января 2016 года </w:t>
      </w:r>
      <w:r w:rsidR="00F16CD6" w:rsidRPr="009B64A5">
        <w:rPr>
          <w:rFonts w:ascii="Times New Roman" w:hAnsi="Times New Roman"/>
          <w:color w:val="000000"/>
          <w:sz w:val="28"/>
          <w:szCs w:val="28"/>
        </w:rPr>
        <w:t xml:space="preserve">– 295 041 человек). </w:t>
      </w:r>
      <w:r w:rsidR="00757EF7" w:rsidRPr="009B64A5">
        <w:rPr>
          <w:rFonts w:ascii="Times New Roman" w:eastAsia="Courier New" w:hAnsi="Times New Roman"/>
          <w:sz w:val="28"/>
          <w:szCs w:val="28"/>
        </w:rPr>
        <w:t xml:space="preserve">Средний возраст мужчин в автономном округе составляет 33,2 года, средний возраст женщин </w:t>
      </w:r>
      <w:r w:rsidR="00C11E17">
        <w:rPr>
          <w:rFonts w:ascii="Times New Roman" w:eastAsia="Courier New" w:hAnsi="Times New Roman"/>
          <w:sz w:val="28"/>
          <w:szCs w:val="28"/>
        </w:rPr>
        <w:t>–</w:t>
      </w:r>
      <w:r w:rsidR="00757EF7" w:rsidRPr="009B64A5">
        <w:rPr>
          <w:rFonts w:ascii="Times New Roman" w:eastAsia="Courier New" w:hAnsi="Times New Roman"/>
          <w:sz w:val="28"/>
          <w:szCs w:val="28"/>
        </w:rPr>
        <w:t xml:space="preserve"> 35,6 лет, в среднем по России </w:t>
      </w:r>
      <w:r w:rsidR="00C11E17">
        <w:rPr>
          <w:rFonts w:ascii="Times New Roman" w:eastAsia="Courier New" w:hAnsi="Times New Roman"/>
          <w:sz w:val="28"/>
          <w:szCs w:val="28"/>
        </w:rPr>
        <w:t>–</w:t>
      </w:r>
      <w:r w:rsidR="00757EF7" w:rsidRPr="009B64A5">
        <w:rPr>
          <w:rFonts w:ascii="Times New Roman" w:eastAsia="Courier New" w:hAnsi="Times New Roman"/>
          <w:sz w:val="28"/>
          <w:szCs w:val="28"/>
        </w:rPr>
        <w:t xml:space="preserve"> 36,8 лет и 42 года соответственно.</w:t>
      </w:r>
    </w:p>
    <w:p w:rsidR="00F16CD6" w:rsidRPr="00531E4D" w:rsidRDefault="00F16CD6" w:rsidP="00860868">
      <w:pPr>
        <w:spacing w:after="0"/>
        <w:ind w:firstLine="708"/>
        <w:jc w:val="both"/>
        <w:rPr>
          <w:rFonts w:ascii="Times New Roman" w:hAnsi="Times New Roman"/>
          <w:color w:val="000000"/>
          <w:sz w:val="28"/>
          <w:szCs w:val="28"/>
        </w:rPr>
      </w:pPr>
    </w:p>
    <w:p w:rsidR="00F16CD6" w:rsidRPr="00531E4D" w:rsidRDefault="00F16CD6" w:rsidP="00F31546">
      <w:pPr>
        <w:ind w:firstLine="709"/>
        <w:jc w:val="both"/>
        <w:rPr>
          <w:rFonts w:ascii="Times New Roman" w:hAnsi="Times New Roman"/>
          <w:color w:val="000000"/>
          <w:sz w:val="28"/>
          <w:szCs w:val="28"/>
        </w:rPr>
      </w:pPr>
      <w:r w:rsidRPr="00531E4D">
        <w:rPr>
          <w:rFonts w:ascii="Times New Roman" w:hAnsi="Times New Roman"/>
          <w:color w:val="000000"/>
          <w:sz w:val="28"/>
          <w:szCs w:val="28"/>
        </w:rPr>
        <w:lastRenderedPageBreak/>
        <w:t xml:space="preserve">В структуре населения на </w:t>
      </w:r>
      <w:r w:rsidR="005B2A9F" w:rsidRPr="009B64A5">
        <w:rPr>
          <w:rFonts w:ascii="Times New Roman" w:hAnsi="Times New Roman"/>
          <w:color w:val="000000"/>
          <w:sz w:val="28"/>
          <w:szCs w:val="28"/>
        </w:rPr>
        <w:t>1</w:t>
      </w:r>
      <w:r w:rsidR="005B2A9F">
        <w:rPr>
          <w:rFonts w:ascii="Times New Roman" w:hAnsi="Times New Roman"/>
          <w:color w:val="000000"/>
          <w:sz w:val="28"/>
          <w:szCs w:val="28"/>
        </w:rPr>
        <w:t xml:space="preserve"> января </w:t>
      </w:r>
      <w:r w:rsidRPr="00531E4D">
        <w:rPr>
          <w:rFonts w:ascii="Times New Roman" w:hAnsi="Times New Roman"/>
          <w:color w:val="000000"/>
          <w:sz w:val="28"/>
          <w:szCs w:val="28"/>
        </w:rPr>
        <w:t>2017</w:t>
      </w:r>
      <w:r w:rsidR="005B2A9F">
        <w:rPr>
          <w:rFonts w:ascii="Times New Roman" w:hAnsi="Times New Roman"/>
          <w:color w:val="000000"/>
          <w:sz w:val="28"/>
          <w:szCs w:val="28"/>
        </w:rPr>
        <w:t xml:space="preserve"> года</w:t>
      </w:r>
      <w:r w:rsidRPr="00531E4D">
        <w:rPr>
          <w:rFonts w:ascii="Times New Roman" w:hAnsi="Times New Roman"/>
          <w:color w:val="000000"/>
          <w:sz w:val="28"/>
          <w:szCs w:val="28"/>
        </w:rPr>
        <w:t xml:space="preserve"> доля лиц моложе трудоспособного возраста – 23,0 %, это на 4,7 процентных пунктов выше, чем в среднем по РФ (18,3 %). Доля трудоспособного населения составляет 62,2 %, что на 5,5 процентных пунктов выше, чем по РФ (56,7 %). Доля граждан старше трудоспособного возраста – 14,8 %, что в 1,7 раза ниже, чем в среднем по РФ (25,0 %).</w:t>
      </w:r>
      <w:r w:rsidRPr="00531E4D">
        <w:rPr>
          <w:rStyle w:val="a9"/>
          <w:rFonts w:ascii="Times New Roman" w:hAnsi="Times New Roman"/>
          <w:color w:val="000000"/>
          <w:sz w:val="28"/>
          <w:szCs w:val="28"/>
        </w:rPr>
        <w:footnoteReference w:id="3"/>
      </w:r>
    </w:p>
    <w:p w:rsidR="00031FF8" w:rsidRPr="00531E4D" w:rsidRDefault="00AF1412" w:rsidP="00F31546">
      <w:pPr>
        <w:ind w:firstLine="709"/>
        <w:jc w:val="both"/>
        <w:rPr>
          <w:rFonts w:ascii="Times New Roman" w:hAnsi="Times New Roman"/>
          <w:color w:val="000000"/>
          <w:sz w:val="28"/>
          <w:szCs w:val="28"/>
        </w:rPr>
      </w:pPr>
      <w:r w:rsidRPr="00531E4D">
        <w:rPr>
          <w:rFonts w:ascii="Times New Roman" w:hAnsi="Times New Roman"/>
          <w:color w:val="000000"/>
          <w:sz w:val="28"/>
          <w:szCs w:val="28"/>
        </w:rPr>
        <w:t xml:space="preserve">Экономика региона позволяет сохранять положительную динамику </w:t>
      </w:r>
      <w:r w:rsidRPr="005B2A9F">
        <w:rPr>
          <w:rFonts w:ascii="Times New Roman" w:hAnsi="Times New Roman"/>
          <w:b/>
          <w:color w:val="000000"/>
          <w:sz w:val="28"/>
          <w:szCs w:val="28"/>
        </w:rPr>
        <w:t>уровня жизни населения</w:t>
      </w:r>
      <w:r w:rsidRPr="00531E4D">
        <w:rPr>
          <w:rFonts w:ascii="Times New Roman" w:hAnsi="Times New Roman"/>
          <w:b/>
          <w:i/>
          <w:color w:val="000000"/>
          <w:sz w:val="28"/>
          <w:szCs w:val="28"/>
        </w:rPr>
        <w:t>.</w:t>
      </w:r>
      <w:r w:rsidRPr="00531E4D">
        <w:rPr>
          <w:rFonts w:ascii="Times New Roman" w:hAnsi="Times New Roman"/>
          <w:color w:val="000000"/>
          <w:sz w:val="28"/>
          <w:szCs w:val="28"/>
        </w:rPr>
        <w:t xml:space="preserve"> В номинальном выражении показатели уровня жизни населения автономного округа остаются одними из самых в</w:t>
      </w:r>
      <w:r w:rsidR="00031FF8" w:rsidRPr="00531E4D">
        <w:rPr>
          <w:rFonts w:ascii="Times New Roman" w:hAnsi="Times New Roman"/>
          <w:color w:val="000000"/>
          <w:sz w:val="28"/>
          <w:szCs w:val="28"/>
        </w:rPr>
        <w:t>ысоких в Российской Федерации. По оценке Деп</w:t>
      </w:r>
      <w:r w:rsidR="005B2A9F">
        <w:rPr>
          <w:rFonts w:ascii="Times New Roman" w:hAnsi="Times New Roman"/>
          <w:color w:val="000000"/>
          <w:sz w:val="28"/>
          <w:szCs w:val="28"/>
        </w:rPr>
        <w:t xml:space="preserve">артамента </w:t>
      </w:r>
      <w:r w:rsidR="00031FF8" w:rsidRPr="00531E4D">
        <w:rPr>
          <w:rFonts w:ascii="Times New Roman" w:hAnsi="Times New Roman"/>
          <w:color w:val="000000"/>
          <w:sz w:val="28"/>
          <w:szCs w:val="28"/>
        </w:rPr>
        <w:t>экономи</w:t>
      </w:r>
      <w:r w:rsidR="005B2A9F">
        <w:rPr>
          <w:rFonts w:ascii="Times New Roman" w:hAnsi="Times New Roman"/>
          <w:color w:val="000000"/>
          <w:sz w:val="28"/>
          <w:szCs w:val="28"/>
        </w:rPr>
        <w:t xml:space="preserve">ческого развития Ханты-Мансийского автономного округа – </w:t>
      </w:r>
      <w:r w:rsidR="00031FF8" w:rsidRPr="00531E4D">
        <w:rPr>
          <w:rFonts w:ascii="Times New Roman" w:hAnsi="Times New Roman"/>
          <w:color w:val="000000"/>
          <w:sz w:val="28"/>
          <w:szCs w:val="28"/>
        </w:rPr>
        <w:t xml:space="preserve">Югрыв 2017 году среднедушевые денежные доходы населения обеспечили 3 величины прожиточных минимума в среднем на душу населения. Среднемесячная номинальная начисленная заработная плата 1 работника увеличилась по сравнению с </w:t>
      </w:r>
      <w:r w:rsidR="005B2A9F">
        <w:rPr>
          <w:rFonts w:ascii="Times New Roman" w:hAnsi="Times New Roman"/>
          <w:color w:val="000000"/>
          <w:sz w:val="28"/>
          <w:szCs w:val="28"/>
        </w:rPr>
        <w:br/>
      </w:r>
      <w:r w:rsidR="00031FF8" w:rsidRPr="00531E4D">
        <w:rPr>
          <w:rFonts w:ascii="Times New Roman" w:hAnsi="Times New Roman"/>
          <w:color w:val="000000"/>
          <w:sz w:val="28"/>
          <w:szCs w:val="28"/>
        </w:rPr>
        <w:t>2016 годом на 5,4 %.</w:t>
      </w:r>
    </w:p>
    <w:p w:rsidR="00031FF8" w:rsidRPr="00F31546" w:rsidRDefault="00031FF8" w:rsidP="00F31546">
      <w:pPr>
        <w:ind w:firstLine="709"/>
        <w:jc w:val="right"/>
        <w:outlineLvl w:val="0"/>
        <w:rPr>
          <w:rFonts w:ascii="Times New Roman" w:hAnsi="Times New Roman"/>
          <w:sz w:val="28"/>
          <w:szCs w:val="28"/>
        </w:rPr>
      </w:pPr>
      <w:r w:rsidRPr="00F31546">
        <w:rPr>
          <w:rFonts w:ascii="Times New Roman" w:hAnsi="Times New Roman"/>
          <w:sz w:val="28"/>
          <w:szCs w:val="28"/>
        </w:rPr>
        <w:t xml:space="preserve">Таблица 1 </w:t>
      </w:r>
    </w:p>
    <w:p w:rsidR="00031FF8" w:rsidRPr="00F31546" w:rsidRDefault="00031FF8" w:rsidP="00D75838">
      <w:pPr>
        <w:spacing w:line="240" w:lineRule="auto"/>
        <w:ind w:firstLine="709"/>
        <w:jc w:val="center"/>
        <w:rPr>
          <w:rFonts w:ascii="Times New Roman" w:hAnsi="Times New Roman"/>
          <w:sz w:val="28"/>
          <w:szCs w:val="28"/>
        </w:rPr>
      </w:pPr>
      <w:r w:rsidRPr="00F31546">
        <w:rPr>
          <w:rFonts w:ascii="Times New Roman" w:hAnsi="Times New Roman"/>
          <w:sz w:val="28"/>
          <w:szCs w:val="28"/>
        </w:rPr>
        <w:t>Динамика социально-экономического развитияв процентах к соответствующему периоду предыдущего года</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94"/>
        <w:gridCol w:w="1315"/>
        <w:gridCol w:w="1171"/>
        <w:gridCol w:w="1169"/>
        <w:gridCol w:w="1311"/>
      </w:tblGrid>
      <w:tr w:rsidR="00031FF8" w:rsidRPr="00F31546" w:rsidTr="00A1116A">
        <w:trPr>
          <w:cantSplit/>
          <w:trHeight w:val="312"/>
          <w:tblHeader/>
        </w:trPr>
        <w:tc>
          <w:tcPr>
            <w:tcW w:w="2375" w:type="pct"/>
            <w:vMerge w:val="restart"/>
            <w:vAlign w:val="center"/>
          </w:tcPr>
          <w:p w:rsidR="00031FF8" w:rsidRPr="00F31546" w:rsidRDefault="00031FF8" w:rsidP="00F31546">
            <w:pPr>
              <w:jc w:val="center"/>
              <w:rPr>
                <w:rFonts w:ascii="Times New Roman" w:hAnsi="Times New Roman"/>
                <w:sz w:val="28"/>
                <w:szCs w:val="28"/>
              </w:rPr>
            </w:pPr>
            <w:r w:rsidRPr="00F31546">
              <w:rPr>
                <w:rFonts w:ascii="Times New Roman" w:hAnsi="Times New Roman"/>
                <w:sz w:val="28"/>
                <w:szCs w:val="28"/>
              </w:rPr>
              <w:t>Показатель</w:t>
            </w:r>
          </w:p>
        </w:tc>
        <w:tc>
          <w:tcPr>
            <w:tcW w:w="1314" w:type="pct"/>
            <w:gridSpan w:val="2"/>
            <w:vAlign w:val="center"/>
          </w:tcPr>
          <w:p w:rsidR="00031FF8" w:rsidRPr="00F31546" w:rsidRDefault="00031FF8" w:rsidP="005B2A9F">
            <w:pPr>
              <w:spacing w:after="0" w:line="240" w:lineRule="auto"/>
              <w:jc w:val="center"/>
              <w:rPr>
                <w:rFonts w:ascii="Times New Roman" w:hAnsi="Times New Roman"/>
                <w:sz w:val="28"/>
                <w:szCs w:val="28"/>
              </w:rPr>
            </w:pPr>
            <w:r w:rsidRPr="00F31546">
              <w:rPr>
                <w:rFonts w:ascii="Times New Roman" w:hAnsi="Times New Roman"/>
                <w:sz w:val="28"/>
                <w:szCs w:val="28"/>
              </w:rPr>
              <w:t>Российская Федерация</w:t>
            </w:r>
          </w:p>
        </w:tc>
        <w:tc>
          <w:tcPr>
            <w:tcW w:w="1311" w:type="pct"/>
            <w:gridSpan w:val="2"/>
            <w:vAlign w:val="center"/>
          </w:tcPr>
          <w:p w:rsidR="00031FF8" w:rsidRPr="00F31546" w:rsidRDefault="00031FF8" w:rsidP="00F31546">
            <w:pPr>
              <w:jc w:val="center"/>
              <w:rPr>
                <w:rFonts w:ascii="Times New Roman" w:hAnsi="Times New Roman"/>
                <w:sz w:val="28"/>
                <w:szCs w:val="28"/>
              </w:rPr>
            </w:pPr>
            <w:r w:rsidRPr="00F31546">
              <w:rPr>
                <w:rFonts w:ascii="Times New Roman" w:hAnsi="Times New Roman"/>
                <w:sz w:val="28"/>
                <w:szCs w:val="28"/>
              </w:rPr>
              <w:t>Югра</w:t>
            </w:r>
          </w:p>
        </w:tc>
      </w:tr>
      <w:tr w:rsidR="00031FF8" w:rsidRPr="00F31546" w:rsidTr="00A1116A">
        <w:trPr>
          <w:cantSplit/>
          <w:trHeight w:val="233"/>
          <w:tblHeader/>
        </w:trPr>
        <w:tc>
          <w:tcPr>
            <w:tcW w:w="2375" w:type="pct"/>
            <w:vMerge/>
            <w:vAlign w:val="center"/>
          </w:tcPr>
          <w:p w:rsidR="00031FF8" w:rsidRPr="00F31546" w:rsidRDefault="00031FF8" w:rsidP="00F31546">
            <w:pPr>
              <w:jc w:val="center"/>
              <w:rPr>
                <w:rFonts w:ascii="Times New Roman" w:hAnsi="Times New Roman"/>
                <w:sz w:val="28"/>
                <w:szCs w:val="28"/>
              </w:rPr>
            </w:pPr>
          </w:p>
        </w:tc>
        <w:tc>
          <w:tcPr>
            <w:tcW w:w="2625" w:type="pct"/>
            <w:gridSpan w:val="4"/>
            <w:vAlign w:val="center"/>
          </w:tcPr>
          <w:p w:rsidR="00031FF8" w:rsidRPr="00F31546" w:rsidRDefault="00031FF8" w:rsidP="00F31546">
            <w:pPr>
              <w:jc w:val="center"/>
              <w:rPr>
                <w:rFonts w:ascii="Times New Roman" w:hAnsi="Times New Roman"/>
                <w:sz w:val="28"/>
                <w:szCs w:val="28"/>
              </w:rPr>
            </w:pPr>
            <w:r w:rsidRPr="00F31546">
              <w:rPr>
                <w:rFonts w:ascii="Times New Roman" w:hAnsi="Times New Roman"/>
                <w:sz w:val="28"/>
                <w:szCs w:val="28"/>
              </w:rPr>
              <w:t>январь-декабрь</w:t>
            </w:r>
          </w:p>
        </w:tc>
      </w:tr>
      <w:tr w:rsidR="00031FF8" w:rsidRPr="00F31546" w:rsidTr="00A1116A">
        <w:trPr>
          <w:cantSplit/>
          <w:trHeight w:val="333"/>
          <w:tblHeader/>
        </w:trPr>
        <w:tc>
          <w:tcPr>
            <w:tcW w:w="2375" w:type="pct"/>
            <w:vMerge/>
            <w:vAlign w:val="center"/>
          </w:tcPr>
          <w:p w:rsidR="00031FF8" w:rsidRPr="00F31546" w:rsidRDefault="00031FF8" w:rsidP="00F31546">
            <w:pPr>
              <w:jc w:val="center"/>
              <w:rPr>
                <w:rFonts w:ascii="Times New Roman" w:hAnsi="Times New Roman"/>
                <w:sz w:val="28"/>
                <w:szCs w:val="28"/>
              </w:rPr>
            </w:pPr>
          </w:p>
        </w:tc>
        <w:tc>
          <w:tcPr>
            <w:tcW w:w="695" w:type="pct"/>
            <w:vAlign w:val="center"/>
          </w:tcPr>
          <w:p w:rsidR="00031FF8" w:rsidRPr="00F31546" w:rsidRDefault="00031FF8" w:rsidP="00F31546">
            <w:pPr>
              <w:jc w:val="center"/>
              <w:rPr>
                <w:rFonts w:ascii="Times New Roman" w:hAnsi="Times New Roman"/>
                <w:sz w:val="28"/>
                <w:szCs w:val="28"/>
              </w:rPr>
            </w:pPr>
            <w:r w:rsidRPr="00F31546">
              <w:rPr>
                <w:rFonts w:ascii="Times New Roman" w:hAnsi="Times New Roman"/>
                <w:sz w:val="28"/>
                <w:szCs w:val="28"/>
              </w:rPr>
              <w:t>2016</w:t>
            </w:r>
          </w:p>
        </w:tc>
        <w:tc>
          <w:tcPr>
            <w:tcW w:w="619" w:type="pct"/>
            <w:vAlign w:val="center"/>
          </w:tcPr>
          <w:p w:rsidR="00031FF8" w:rsidRPr="00F31546" w:rsidRDefault="00031FF8" w:rsidP="00F31546">
            <w:pPr>
              <w:jc w:val="center"/>
              <w:rPr>
                <w:rFonts w:ascii="Times New Roman" w:hAnsi="Times New Roman"/>
                <w:sz w:val="28"/>
                <w:szCs w:val="28"/>
              </w:rPr>
            </w:pPr>
            <w:r w:rsidRPr="00F31546">
              <w:rPr>
                <w:rFonts w:ascii="Times New Roman" w:hAnsi="Times New Roman"/>
                <w:sz w:val="28"/>
                <w:szCs w:val="28"/>
              </w:rPr>
              <w:t>2017</w:t>
            </w:r>
          </w:p>
        </w:tc>
        <w:tc>
          <w:tcPr>
            <w:tcW w:w="618" w:type="pct"/>
            <w:vAlign w:val="center"/>
          </w:tcPr>
          <w:p w:rsidR="00031FF8" w:rsidRPr="00F31546" w:rsidRDefault="00031FF8" w:rsidP="00F31546">
            <w:pPr>
              <w:jc w:val="center"/>
              <w:rPr>
                <w:rFonts w:ascii="Times New Roman" w:hAnsi="Times New Roman"/>
                <w:sz w:val="28"/>
                <w:szCs w:val="28"/>
              </w:rPr>
            </w:pPr>
            <w:r w:rsidRPr="00F31546">
              <w:rPr>
                <w:rFonts w:ascii="Times New Roman" w:hAnsi="Times New Roman"/>
                <w:sz w:val="28"/>
                <w:szCs w:val="28"/>
              </w:rPr>
              <w:t>2016</w:t>
            </w:r>
          </w:p>
        </w:tc>
        <w:tc>
          <w:tcPr>
            <w:tcW w:w="693" w:type="pct"/>
            <w:vAlign w:val="center"/>
          </w:tcPr>
          <w:p w:rsidR="00031FF8" w:rsidRPr="00F31546" w:rsidRDefault="00031FF8" w:rsidP="00F31546">
            <w:pPr>
              <w:jc w:val="center"/>
              <w:rPr>
                <w:rFonts w:ascii="Times New Roman" w:hAnsi="Times New Roman"/>
                <w:sz w:val="28"/>
                <w:szCs w:val="28"/>
              </w:rPr>
            </w:pPr>
            <w:r w:rsidRPr="00F31546">
              <w:rPr>
                <w:rFonts w:ascii="Times New Roman" w:hAnsi="Times New Roman"/>
                <w:sz w:val="28"/>
                <w:szCs w:val="28"/>
              </w:rPr>
              <w:t>2017</w:t>
            </w:r>
          </w:p>
        </w:tc>
      </w:tr>
      <w:tr w:rsidR="00031FF8" w:rsidRPr="00F31546" w:rsidTr="00A1116A">
        <w:trPr>
          <w:cantSplit/>
        </w:trPr>
        <w:tc>
          <w:tcPr>
            <w:tcW w:w="2375" w:type="pct"/>
          </w:tcPr>
          <w:p w:rsidR="00031FF8" w:rsidRPr="0063694A" w:rsidRDefault="00031FF8" w:rsidP="0063694A">
            <w:pPr>
              <w:spacing w:line="240" w:lineRule="auto"/>
              <w:rPr>
                <w:rFonts w:ascii="Times New Roman" w:hAnsi="Times New Roman"/>
                <w:sz w:val="24"/>
                <w:szCs w:val="24"/>
              </w:rPr>
            </w:pPr>
            <w:r w:rsidRPr="0063694A">
              <w:rPr>
                <w:rFonts w:ascii="Times New Roman" w:hAnsi="Times New Roman"/>
                <w:sz w:val="24"/>
                <w:szCs w:val="24"/>
              </w:rPr>
              <w:t>Индекс физического объема промышленного производства</w:t>
            </w:r>
          </w:p>
        </w:tc>
        <w:tc>
          <w:tcPr>
            <w:tcW w:w="695" w:type="pct"/>
            <w:vAlign w:val="center"/>
          </w:tcPr>
          <w:p w:rsidR="00031FF8" w:rsidRPr="0063694A" w:rsidRDefault="00031FF8" w:rsidP="0063694A">
            <w:pPr>
              <w:pStyle w:val="a7"/>
              <w:keepNext/>
              <w:spacing w:before="0" w:after="0"/>
              <w:rPr>
                <w:rFonts w:ascii="Times New Roman" w:hAnsi="Times New Roman"/>
                <w:b w:val="0"/>
                <w:bCs w:val="0"/>
                <w:sz w:val="24"/>
                <w:szCs w:val="24"/>
              </w:rPr>
            </w:pPr>
            <w:r w:rsidRPr="0063694A">
              <w:rPr>
                <w:rFonts w:ascii="Times New Roman" w:hAnsi="Times New Roman"/>
                <w:b w:val="0"/>
                <w:bCs w:val="0"/>
                <w:sz w:val="24"/>
                <w:szCs w:val="24"/>
              </w:rPr>
              <w:t>101,3</w:t>
            </w:r>
          </w:p>
        </w:tc>
        <w:tc>
          <w:tcPr>
            <w:tcW w:w="619" w:type="pct"/>
            <w:vAlign w:val="center"/>
          </w:tcPr>
          <w:p w:rsidR="00031FF8" w:rsidRPr="0063694A" w:rsidRDefault="00031FF8" w:rsidP="0063694A">
            <w:pPr>
              <w:pStyle w:val="a7"/>
              <w:keepNext/>
              <w:spacing w:before="0" w:after="0"/>
              <w:rPr>
                <w:rFonts w:ascii="Times New Roman" w:hAnsi="Times New Roman"/>
                <w:b w:val="0"/>
                <w:bCs w:val="0"/>
                <w:sz w:val="24"/>
                <w:szCs w:val="24"/>
              </w:rPr>
            </w:pPr>
            <w:r w:rsidRPr="0063694A">
              <w:rPr>
                <w:rFonts w:ascii="Times New Roman" w:hAnsi="Times New Roman"/>
                <w:b w:val="0"/>
                <w:bCs w:val="0"/>
                <w:sz w:val="24"/>
                <w:szCs w:val="24"/>
              </w:rPr>
              <w:t>101,0</w:t>
            </w:r>
          </w:p>
        </w:tc>
        <w:tc>
          <w:tcPr>
            <w:tcW w:w="618" w:type="pct"/>
            <w:vAlign w:val="center"/>
          </w:tcPr>
          <w:p w:rsidR="00031FF8" w:rsidRPr="0063694A" w:rsidRDefault="00031FF8" w:rsidP="0063694A">
            <w:pPr>
              <w:pStyle w:val="a7"/>
              <w:keepNext/>
              <w:spacing w:before="0" w:after="0"/>
              <w:rPr>
                <w:rFonts w:ascii="Times New Roman" w:hAnsi="Times New Roman"/>
                <w:b w:val="0"/>
                <w:bCs w:val="0"/>
                <w:sz w:val="24"/>
                <w:szCs w:val="24"/>
              </w:rPr>
            </w:pPr>
            <w:r w:rsidRPr="0063694A">
              <w:rPr>
                <w:rFonts w:ascii="Times New Roman" w:hAnsi="Times New Roman"/>
                <w:b w:val="0"/>
                <w:bCs w:val="0"/>
                <w:sz w:val="24"/>
                <w:szCs w:val="24"/>
              </w:rPr>
              <w:t>100,5</w:t>
            </w:r>
          </w:p>
        </w:tc>
        <w:tc>
          <w:tcPr>
            <w:tcW w:w="693" w:type="pct"/>
            <w:vAlign w:val="center"/>
          </w:tcPr>
          <w:p w:rsidR="00031FF8" w:rsidRPr="0063694A" w:rsidRDefault="00031FF8" w:rsidP="0063694A">
            <w:pPr>
              <w:pStyle w:val="a7"/>
              <w:keepNext/>
              <w:spacing w:before="0" w:after="0"/>
              <w:rPr>
                <w:rFonts w:ascii="Times New Roman" w:hAnsi="Times New Roman"/>
                <w:b w:val="0"/>
                <w:bCs w:val="0"/>
                <w:sz w:val="24"/>
                <w:szCs w:val="24"/>
              </w:rPr>
            </w:pPr>
            <w:r w:rsidRPr="0063694A">
              <w:rPr>
                <w:rFonts w:ascii="Times New Roman" w:hAnsi="Times New Roman"/>
                <w:b w:val="0"/>
                <w:bCs w:val="0"/>
                <w:sz w:val="24"/>
                <w:szCs w:val="24"/>
              </w:rPr>
              <w:t>98,7</w:t>
            </w:r>
          </w:p>
        </w:tc>
      </w:tr>
      <w:tr w:rsidR="00031FF8" w:rsidRPr="00F31546" w:rsidTr="00A1116A">
        <w:trPr>
          <w:cantSplit/>
          <w:trHeight w:val="163"/>
        </w:trPr>
        <w:tc>
          <w:tcPr>
            <w:tcW w:w="2375" w:type="pct"/>
            <w:vAlign w:val="bottom"/>
          </w:tcPr>
          <w:p w:rsidR="00031FF8" w:rsidRPr="0063694A" w:rsidRDefault="00031FF8" w:rsidP="0063694A">
            <w:pPr>
              <w:spacing w:line="240" w:lineRule="auto"/>
              <w:rPr>
                <w:rFonts w:ascii="Times New Roman" w:hAnsi="Times New Roman"/>
                <w:sz w:val="24"/>
                <w:szCs w:val="24"/>
              </w:rPr>
            </w:pPr>
            <w:r w:rsidRPr="0063694A">
              <w:rPr>
                <w:rFonts w:ascii="Times New Roman" w:hAnsi="Times New Roman"/>
                <w:sz w:val="24"/>
                <w:szCs w:val="24"/>
              </w:rPr>
              <w:t xml:space="preserve">Индекс физического объема инвестиций в основной капитал  </w:t>
            </w:r>
          </w:p>
        </w:tc>
        <w:tc>
          <w:tcPr>
            <w:tcW w:w="695" w:type="pct"/>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99,8</w:t>
            </w:r>
          </w:p>
        </w:tc>
        <w:tc>
          <w:tcPr>
            <w:tcW w:w="619" w:type="pct"/>
          </w:tcPr>
          <w:p w:rsidR="00031FF8" w:rsidRPr="0063694A" w:rsidRDefault="00031FF8" w:rsidP="0063694A">
            <w:pPr>
              <w:spacing w:line="240" w:lineRule="auto"/>
              <w:jc w:val="center"/>
              <w:rPr>
                <w:rFonts w:ascii="Times New Roman" w:hAnsi="Times New Roman"/>
                <w:sz w:val="24"/>
                <w:szCs w:val="24"/>
                <w:vertAlign w:val="superscript"/>
              </w:rPr>
            </w:pPr>
            <w:r w:rsidRPr="0063694A">
              <w:rPr>
                <w:rFonts w:ascii="Times New Roman" w:hAnsi="Times New Roman"/>
                <w:sz w:val="24"/>
                <w:szCs w:val="24"/>
              </w:rPr>
              <w:t>104,1</w:t>
            </w:r>
            <w:r w:rsidRPr="0063694A">
              <w:rPr>
                <w:rStyle w:val="a9"/>
                <w:rFonts w:ascii="Times New Roman" w:hAnsi="Times New Roman"/>
                <w:sz w:val="24"/>
                <w:szCs w:val="24"/>
              </w:rPr>
              <w:footnoteReference w:id="4"/>
            </w:r>
          </w:p>
        </w:tc>
        <w:tc>
          <w:tcPr>
            <w:tcW w:w="618" w:type="pct"/>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102,6</w:t>
            </w:r>
          </w:p>
        </w:tc>
        <w:tc>
          <w:tcPr>
            <w:tcW w:w="693" w:type="pct"/>
          </w:tcPr>
          <w:p w:rsidR="00031FF8" w:rsidRPr="0063694A" w:rsidRDefault="00031FF8" w:rsidP="0063694A">
            <w:pPr>
              <w:spacing w:line="240" w:lineRule="auto"/>
              <w:jc w:val="center"/>
              <w:rPr>
                <w:rFonts w:ascii="Times New Roman" w:hAnsi="Times New Roman"/>
                <w:sz w:val="24"/>
                <w:szCs w:val="24"/>
                <w:vertAlign w:val="superscript"/>
              </w:rPr>
            </w:pPr>
            <w:r w:rsidRPr="0063694A">
              <w:rPr>
                <w:rFonts w:ascii="Times New Roman" w:hAnsi="Times New Roman"/>
                <w:sz w:val="24"/>
                <w:szCs w:val="24"/>
              </w:rPr>
              <w:t>100,9</w:t>
            </w:r>
            <w:r w:rsidRPr="0063694A">
              <w:rPr>
                <w:rFonts w:ascii="Times New Roman" w:hAnsi="Times New Roman"/>
                <w:sz w:val="24"/>
                <w:szCs w:val="24"/>
                <w:vertAlign w:val="superscript"/>
              </w:rPr>
              <w:t>2</w:t>
            </w:r>
          </w:p>
        </w:tc>
      </w:tr>
      <w:tr w:rsidR="00031FF8" w:rsidRPr="00F31546" w:rsidTr="00A1116A">
        <w:trPr>
          <w:cantSplit/>
        </w:trPr>
        <w:tc>
          <w:tcPr>
            <w:tcW w:w="2375" w:type="pct"/>
            <w:vAlign w:val="center"/>
          </w:tcPr>
          <w:p w:rsidR="00031FF8" w:rsidRPr="0063694A" w:rsidRDefault="00031FF8" w:rsidP="0063694A">
            <w:pPr>
              <w:spacing w:line="240" w:lineRule="auto"/>
              <w:rPr>
                <w:rFonts w:ascii="Times New Roman" w:hAnsi="Times New Roman"/>
                <w:sz w:val="24"/>
                <w:szCs w:val="24"/>
                <w:vertAlign w:val="superscript"/>
              </w:rPr>
            </w:pPr>
            <w:r w:rsidRPr="0063694A">
              <w:rPr>
                <w:rFonts w:ascii="Times New Roman" w:hAnsi="Times New Roman"/>
                <w:sz w:val="24"/>
                <w:szCs w:val="24"/>
              </w:rPr>
              <w:t>Среднедушевые доходы населения, рублей</w:t>
            </w:r>
          </w:p>
        </w:tc>
        <w:tc>
          <w:tcPr>
            <w:tcW w:w="695" w:type="pct"/>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30738,4</w:t>
            </w:r>
          </w:p>
        </w:tc>
        <w:tc>
          <w:tcPr>
            <w:tcW w:w="619" w:type="pct"/>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31475,0</w:t>
            </w:r>
          </w:p>
        </w:tc>
        <w:tc>
          <w:tcPr>
            <w:tcW w:w="618" w:type="pct"/>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43270,2</w:t>
            </w:r>
          </w:p>
        </w:tc>
        <w:tc>
          <w:tcPr>
            <w:tcW w:w="693" w:type="pct"/>
          </w:tcPr>
          <w:p w:rsidR="00031FF8" w:rsidRPr="0063694A" w:rsidRDefault="00031FF8" w:rsidP="0063694A">
            <w:pPr>
              <w:spacing w:line="240" w:lineRule="auto"/>
              <w:jc w:val="center"/>
              <w:rPr>
                <w:rFonts w:ascii="Times New Roman" w:hAnsi="Times New Roman"/>
                <w:sz w:val="24"/>
                <w:szCs w:val="24"/>
                <w:vertAlign w:val="superscript"/>
              </w:rPr>
            </w:pPr>
            <w:r w:rsidRPr="0063694A">
              <w:rPr>
                <w:rFonts w:ascii="Times New Roman" w:hAnsi="Times New Roman"/>
                <w:sz w:val="24"/>
                <w:szCs w:val="24"/>
              </w:rPr>
              <w:t>44118,8</w:t>
            </w:r>
            <w:r w:rsidRPr="0063694A">
              <w:rPr>
                <w:rFonts w:ascii="Times New Roman" w:hAnsi="Times New Roman"/>
                <w:sz w:val="24"/>
                <w:szCs w:val="24"/>
                <w:vertAlign w:val="superscript"/>
              </w:rPr>
              <w:t>2</w:t>
            </w:r>
          </w:p>
        </w:tc>
      </w:tr>
      <w:tr w:rsidR="00031FF8" w:rsidRPr="00F31546" w:rsidTr="00A1116A">
        <w:trPr>
          <w:cantSplit/>
        </w:trPr>
        <w:tc>
          <w:tcPr>
            <w:tcW w:w="2375" w:type="pct"/>
            <w:vAlign w:val="center"/>
          </w:tcPr>
          <w:p w:rsidR="00031FF8" w:rsidRPr="0063694A" w:rsidRDefault="00031FF8" w:rsidP="0063694A">
            <w:pPr>
              <w:spacing w:line="240" w:lineRule="auto"/>
              <w:rPr>
                <w:rFonts w:ascii="Times New Roman" w:hAnsi="Times New Roman"/>
                <w:sz w:val="24"/>
                <w:szCs w:val="24"/>
                <w:vertAlign w:val="superscript"/>
              </w:rPr>
            </w:pPr>
            <w:r w:rsidRPr="0063694A">
              <w:rPr>
                <w:rFonts w:ascii="Times New Roman" w:hAnsi="Times New Roman"/>
                <w:sz w:val="24"/>
                <w:szCs w:val="24"/>
              </w:rPr>
              <w:t>Реальные располагаемые денежные доходы населения, в процентах</w:t>
            </w:r>
          </w:p>
        </w:tc>
        <w:tc>
          <w:tcPr>
            <w:tcW w:w="695" w:type="pct"/>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94,9</w:t>
            </w:r>
          </w:p>
        </w:tc>
        <w:tc>
          <w:tcPr>
            <w:tcW w:w="619" w:type="pct"/>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98,3</w:t>
            </w:r>
          </w:p>
        </w:tc>
        <w:tc>
          <w:tcPr>
            <w:tcW w:w="618" w:type="pct"/>
          </w:tcPr>
          <w:p w:rsidR="00031FF8" w:rsidRPr="0063694A" w:rsidRDefault="00031FF8" w:rsidP="0063694A">
            <w:pPr>
              <w:spacing w:line="240" w:lineRule="auto"/>
              <w:jc w:val="center"/>
              <w:rPr>
                <w:rFonts w:ascii="Times New Roman" w:eastAsia="Arial Unicode MS" w:hAnsi="Times New Roman"/>
                <w:sz w:val="24"/>
                <w:szCs w:val="24"/>
              </w:rPr>
            </w:pPr>
            <w:r w:rsidRPr="0063694A">
              <w:rPr>
                <w:rFonts w:ascii="Times New Roman" w:eastAsia="Arial Unicode MS" w:hAnsi="Times New Roman"/>
                <w:sz w:val="24"/>
                <w:szCs w:val="24"/>
              </w:rPr>
              <w:t>89,7</w:t>
            </w:r>
          </w:p>
        </w:tc>
        <w:tc>
          <w:tcPr>
            <w:tcW w:w="693" w:type="pct"/>
          </w:tcPr>
          <w:p w:rsidR="00031FF8" w:rsidRPr="0063694A" w:rsidRDefault="00031FF8" w:rsidP="0063694A">
            <w:pPr>
              <w:spacing w:line="240" w:lineRule="auto"/>
              <w:jc w:val="center"/>
              <w:rPr>
                <w:rFonts w:ascii="Times New Roman" w:eastAsia="Arial Unicode MS" w:hAnsi="Times New Roman"/>
                <w:sz w:val="24"/>
                <w:szCs w:val="24"/>
                <w:vertAlign w:val="superscript"/>
              </w:rPr>
            </w:pPr>
            <w:r w:rsidRPr="0063694A">
              <w:rPr>
                <w:rFonts w:ascii="Times New Roman" w:eastAsia="Arial Unicode MS" w:hAnsi="Times New Roman"/>
                <w:sz w:val="24"/>
                <w:szCs w:val="24"/>
              </w:rPr>
              <w:t>100,1</w:t>
            </w:r>
            <w:r w:rsidRPr="0063694A">
              <w:rPr>
                <w:rFonts w:ascii="Times New Roman" w:eastAsia="Arial Unicode MS" w:hAnsi="Times New Roman"/>
                <w:sz w:val="24"/>
                <w:szCs w:val="24"/>
                <w:vertAlign w:val="superscript"/>
              </w:rPr>
              <w:t>2</w:t>
            </w:r>
          </w:p>
        </w:tc>
      </w:tr>
      <w:tr w:rsidR="00031FF8" w:rsidRPr="00F31546" w:rsidTr="00A1116A">
        <w:trPr>
          <w:cantSplit/>
        </w:trPr>
        <w:tc>
          <w:tcPr>
            <w:tcW w:w="2375" w:type="pct"/>
            <w:vAlign w:val="bottom"/>
          </w:tcPr>
          <w:p w:rsidR="00031FF8" w:rsidRPr="0063694A" w:rsidRDefault="00031FF8" w:rsidP="0063694A">
            <w:pPr>
              <w:spacing w:line="240" w:lineRule="auto"/>
              <w:rPr>
                <w:rFonts w:ascii="Times New Roman" w:hAnsi="Times New Roman"/>
                <w:sz w:val="24"/>
                <w:szCs w:val="24"/>
                <w:vertAlign w:val="superscript"/>
              </w:rPr>
            </w:pPr>
            <w:r w:rsidRPr="0063694A">
              <w:rPr>
                <w:rFonts w:ascii="Times New Roman" w:hAnsi="Times New Roman"/>
                <w:sz w:val="24"/>
                <w:szCs w:val="24"/>
              </w:rPr>
              <w:lastRenderedPageBreak/>
              <w:t>Среднемесячная номинальная начисленная заработная плата одного работника, в рублях</w:t>
            </w:r>
          </w:p>
        </w:tc>
        <w:tc>
          <w:tcPr>
            <w:tcW w:w="695"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36709,2</w:t>
            </w:r>
          </w:p>
        </w:tc>
        <w:tc>
          <w:tcPr>
            <w:tcW w:w="619"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39085,0</w:t>
            </w:r>
          </w:p>
        </w:tc>
        <w:tc>
          <w:tcPr>
            <w:tcW w:w="618"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63567,9</w:t>
            </w:r>
          </w:p>
        </w:tc>
        <w:tc>
          <w:tcPr>
            <w:tcW w:w="693" w:type="pct"/>
            <w:vAlign w:val="center"/>
          </w:tcPr>
          <w:p w:rsidR="00031FF8" w:rsidRPr="0063694A" w:rsidRDefault="00031FF8" w:rsidP="0063694A">
            <w:pPr>
              <w:spacing w:line="240" w:lineRule="auto"/>
              <w:jc w:val="center"/>
              <w:rPr>
                <w:rFonts w:ascii="Times New Roman" w:hAnsi="Times New Roman"/>
                <w:sz w:val="24"/>
                <w:szCs w:val="24"/>
                <w:vertAlign w:val="superscript"/>
              </w:rPr>
            </w:pPr>
            <w:r w:rsidRPr="0063694A">
              <w:rPr>
                <w:rFonts w:ascii="Times New Roman" w:hAnsi="Times New Roman"/>
                <w:sz w:val="24"/>
                <w:szCs w:val="24"/>
              </w:rPr>
              <w:t>66993,4</w:t>
            </w:r>
            <w:r w:rsidRPr="0063694A">
              <w:rPr>
                <w:rFonts w:ascii="Times New Roman" w:hAnsi="Times New Roman"/>
                <w:sz w:val="24"/>
                <w:szCs w:val="24"/>
                <w:vertAlign w:val="superscript"/>
              </w:rPr>
              <w:t>2</w:t>
            </w:r>
          </w:p>
        </w:tc>
      </w:tr>
      <w:tr w:rsidR="00031FF8" w:rsidRPr="00F31546" w:rsidTr="00A1116A">
        <w:trPr>
          <w:cantSplit/>
        </w:trPr>
        <w:tc>
          <w:tcPr>
            <w:tcW w:w="2375" w:type="pct"/>
            <w:vAlign w:val="bottom"/>
          </w:tcPr>
          <w:p w:rsidR="00031FF8" w:rsidRPr="0063694A" w:rsidRDefault="00031FF8" w:rsidP="0063694A">
            <w:pPr>
              <w:spacing w:line="240" w:lineRule="auto"/>
              <w:rPr>
                <w:rFonts w:ascii="Times New Roman" w:hAnsi="Times New Roman"/>
                <w:sz w:val="24"/>
                <w:szCs w:val="24"/>
                <w:vertAlign w:val="superscript"/>
              </w:rPr>
            </w:pPr>
            <w:r w:rsidRPr="0063694A">
              <w:rPr>
                <w:rFonts w:ascii="Times New Roman" w:hAnsi="Times New Roman"/>
                <w:sz w:val="24"/>
                <w:szCs w:val="24"/>
              </w:rPr>
              <w:t>Реальная заработная плата, в процентах</w:t>
            </w:r>
          </w:p>
        </w:tc>
        <w:tc>
          <w:tcPr>
            <w:tcW w:w="695"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100,8</w:t>
            </w:r>
          </w:p>
        </w:tc>
        <w:tc>
          <w:tcPr>
            <w:tcW w:w="619"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103,4</w:t>
            </w:r>
          </w:p>
        </w:tc>
        <w:tc>
          <w:tcPr>
            <w:tcW w:w="618"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97,4</w:t>
            </w:r>
          </w:p>
        </w:tc>
        <w:tc>
          <w:tcPr>
            <w:tcW w:w="693" w:type="pct"/>
            <w:vAlign w:val="center"/>
          </w:tcPr>
          <w:p w:rsidR="00031FF8" w:rsidRPr="0063694A" w:rsidRDefault="00031FF8" w:rsidP="0063694A">
            <w:pPr>
              <w:spacing w:line="240" w:lineRule="auto"/>
              <w:jc w:val="center"/>
              <w:rPr>
                <w:rFonts w:ascii="Times New Roman" w:hAnsi="Times New Roman"/>
                <w:sz w:val="24"/>
                <w:szCs w:val="24"/>
                <w:vertAlign w:val="superscript"/>
              </w:rPr>
            </w:pPr>
            <w:r w:rsidRPr="0063694A">
              <w:rPr>
                <w:rFonts w:ascii="Times New Roman" w:hAnsi="Times New Roman"/>
                <w:sz w:val="24"/>
                <w:szCs w:val="24"/>
              </w:rPr>
              <w:t>101,3</w:t>
            </w:r>
            <w:r w:rsidRPr="0063694A">
              <w:rPr>
                <w:rFonts w:ascii="Times New Roman" w:hAnsi="Times New Roman"/>
                <w:sz w:val="24"/>
                <w:szCs w:val="24"/>
                <w:vertAlign w:val="superscript"/>
              </w:rPr>
              <w:t>2</w:t>
            </w:r>
          </w:p>
        </w:tc>
      </w:tr>
      <w:tr w:rsidR="00031FF8" w:rsidRPr="00F31546" w:rsidTr="00D75838">
        <w:trPr>
          <w:cantSplit/>
          <w:trHeight w:val="868"/>
        </w:trPr>
        <w:tc>
          <w:tcPr>
            <w:tcW w:w="2375" w:type="pct"/>
          </w:tcPr>
          <w:p w:rsidR="00031FF8" w:rsidRPr="0063694A" w:rsidRDefault="00031FF8" w:rsidP="0063694A">
            <w:pPr>
              <w:spacing w:line="240" w:lineRule="auto"/>
              <w:rPr>
                <w:rFonts w:ascii="Times New Roman" w:hAnsi="Times New Roman"/>
                <w:sz w:val="24"/>
                <w:szCs w:val="24"/>
              </w:rPr>
            </w:pPr>
            <w:r w:rsidRPr="0063694A">
              <w:rPr>
                <w:rFonts w:ascii="Times New Roman" w:hAnsi="Times New Roman"/>
                <w:sz w:val="24"/>
                <w:szCs w:val="24"/>
              </w:rPr>
              <w:t>Индекс потребительских цен, на конец периода (к декабрю предшествующего года)</w:t>
            </w:r>
          </w:p>
        </w:tc>
        <w:tc>
          <w:tcPr>
            <w:tcW w:w="695"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105,4</w:t>
            </w:r>
          </w:p>
        </w:tc>
        <w:tc>
          <w:tcPr>
            <w:tcW w:w="619"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102,5</w:t>
            </w:r>
          </w:p>
        </w:tc>
        <w:tc>
          <w:tcPr>
            <w:tcW w:w="618"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108,5</w:t>
            </w:r>
          </w:p>
        </w:tc>
        <w:tc>
          <w:tcPr>
            <w:tcW w:w="693"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103,1</w:t>
            </w:r>
          </w:p>
        </w:tc>
      </w:tr>
      <w:tr w:rsidR="00031FF8" w:rsidRPr="00F31546" w:rsidTr="00A1116A">
        <w:trPr>
          <w:cantSplit/>
        </w:trPr>
        <w:tc>
          <w:tcPr>
            <w:tcW w:w="2375" w:type="pct"/>
            <w:vAlign w:val="center"/>
          </w:tcPr>
          <w:p w:rsidR="00031FF8" w:rsidRPr="0063694A" w:rsidRDefault="00031FF8" w:rsidP="0063694A">
            <w:pPr>
              <w:spacing w:line="240" w:lineRule="auto"/>
              <w:rPr>
                <w:rFonts w:ascii="Times New Roman" w:hAnsi="Times New Roman"/>
                <w:sz w:val="24"/>
                <w:szCs w:val="24"/>
              </w:rPr>
            </w:pPr>
            <w:r w:rsidRPr="0063694A">
              <w:rPr>
                <w:rFonts w:ascii="Times New Roman" w:hAnsi="Times New Roman"/>
                <w:sz w:val="24"/>
                <w:szCs w:val="24"/>
              </w:rPr>
              <w:t>Уровень зарегистрированной безработицы к экономически активному населению</w:t>
            </w:r>
          </w:p>
        </w:tc>
        <w:tc>
          <w:tcPr>
            <w:tcW w:w="695"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1,2</w:t>
            </w:r>
          </w:p>
        </w:tc>
        <w:tc>
          <w:tcPr>
            <w:tcW w:w="619"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1,0</w:t>
            </w:r>
          </w:p>
        </w:tc>
        <w:tc>
          <w:tcPr>
            <w:tcW w:w="618"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0,57</w:t>
            </w:r>
          </w:p>
        </w:tc>
        <w:tc>
          <w:tcPr>
            <w:tcW w:w="693" w:type="pct"/>
            <w:vAlign w:val="center"/>
          </w:tcPr>
          <w:p w:rsidR="00031FF8" w:rsidRPr="0063694A" w:rsidRDefault="00031FF8" w:rsidP="0063694A">
            <w:pPr>
              <w:spacing w:line="240" w:lineRule="auto"/>
              <w:jc w:val="center"/>
              <w:rPr>
                <w:rFonts w:ascii="Times New Roman" w:hAnsi="Times New Roman"/>
                <w:sz w:val="24"/>
                <w:szCs w:val="24"/>
              </w:rPr>
            </w:pPr>
            <w:r w:rsidRPr="0063694A">
              <w:rPr>
                <w:rFonts w:ascii="Times New Roman" w:hAnsi="Times New Roman"/>
                <w:sz w:val="24"/>
                <w:szCs w:val="24"/>
              </w:rPr>
              <w:t>0,</w:t>
            </w:r>
            <w:r w:rsidRPr="0063694A">
              <w:rPr>
                <w:rFonts w:ascii="Times New Roman" w:hAnsi="Times New Roman"/>
                <w:sz w:val="24"/>
                <w:szCs w:val="24"/>
                <w:lang w:val="en-US"/>
              </w:rPr>
              <w:t>4</w:t>
            </w:r>
            <w:r w:rsidRPr="0063694A">
              <w:rPr>
                <w:rFonts w:ascii="Times New Roman" w:hAnsi="Times New Roman"/>
                <w:sz w:val="24"/>
                <w:szCs w:val="24"/>
              </w:rPr>
              <w:t>9</w:t>
            </w:r>
          </w:p>
        </w:tc>
      </w:tr>
    </w:tbl>
    <w:p w:rsidR="00031FF8" w:rsidRPr="00F31546" w:rsidRDefault="00031FF8" w:rsidP="00F31546">
      <w:pPr>
        <w:ind w:firstLine="709"/>
        <w:jc w:val="both"/>
        <w:rPr>
          <w:rFonts w:ascii="Times New Roman" w:hAnsi="Times New Roman"/>
          <w:b/>
          <w:color w:val="0070C0"/>
          <w:sz w:val="28"/>
          <w:szCs w:val="28"/>
        </w:rPr>
      </w:pPr>
    </w:p>
    <w:p w:rsidR="00F31546" w:rsidRPr="00531E4D" w:rsidRDefault="00BD68C9" w:rsidP="00F31546">
      <w:pPr>
        <w:ind w:firstLine="709"/>
        <w:jc w:val="both"/>
        <w:rPr>
          <w:rFonts w:ascii="Times New Roman" w:hAnsi="Times New Roman"/>
          <w:color w:val="000000"/>
          <w:sz w:val="28"/>
          <w:szCs w:val="28"/>
        </w:rPr>
      </w:pPr>
      <w:r>
        <w:rPr>
          <w:rFonts w:ascii="Times New Roman" w:hAnsi="Times New Roman"/>
          <w:sz w:val="28"/>
          <w:szCs w:val="28"/>
        </w:rPr>
        <w:t>С</w:t>
      </w:r>
      <w:r w:rsidR="00F31546" w:rsidRPr="00F31546">
        <w:rPr>
          <w:rFonts w:ascii="Times New Roman" w:hAnsi="Times New Roman"/>
          <w:sz w:val="28"/>
          <w:szCs w:val="28"/>
        </w:rPr>
        <w:t xml:space="preserve">реднедушевые денежные доходы населения Югры </w:t>
      </w:r>
      <w:r w:rsidRPr="00F31546">
        <w:rPr>
          <w:rFonts w:ascii="Times New Roman" w:hAnsi="Times New Roman"/>
          <w:sz w:val="28"/>
          <w:szCs w:val="28"/>
        </w:rPr>
        <w:t>увеличи</w:t>
      </w:r>
      <w:r>
        <w:rPr>
          <w:rFonts w:ascii="Times New Roman" w:hAnsi="Times New Roman"/>
          <w:sz w:val="28"/>
          <w:szCs w:val="28"/>
        </w:rPr>
        <w:t>ли</w:t>
      </w:r>
      <w:r w:rsidRPr="00F31546">
        <w:rPr>
          <w:rFonts w:ascii="Times New Roman" w:hAnsi="Times New Roman"/>
          <w:sz w:val="28"/>
          <w:szCs w:val="28"/>
        </w:rPr>
        <w:t>сь по сравнению с 2016 годом на2,0%</w:t>
      </w:r>
      <w:r>
        <w:rPr>
          <w:rFonts w:ascii="Times New Roman" w:hAnsi="Times New Roman"/>
          <w:sz w:val="28"/>
          <w:szCs w:val="28"/>
        </w:rPr>
        <w:t xml:space="preserve"> и </w:t>
      </w:r>
      <w:r w:rsidR="00F31546" w:rsidRPr="00F31546">
        <w:rPr>
          <w:rFonts w:ascii="Times New Roman" w:hAnsi="Times New Roman"/>
          <w:sz w:val="28"/>
          <w:szCs w:val="28"/>
        </w:rPr>
        <w:t>составили 44,1 тыс. рублей.Основной составляющей доходов населения является заработная плата, ее средний размер в 2017 году с</w:t>
      </w:r>
      <w:r w:rsidR="00F31546" w:rsidRPr="00531E4D">
        <w:rPr>
          <w:rFonts w:ascii="Times New Roman" w:hAnsi="Times New Roman"/>
          <w:color w:val="000000"/>
          <w:sz w:val="28"/>
          <w:szCs w:val="28"/>
        </w:rPr>
        <w:t>оставил 67 тыс. рублей, увеличившись по сравнению с 2016 годом на 5,4 %. Высокий уровень жизни населения округа становится фактором риска распространения наркомании.</w:t>
      </w:r>
    </w:p>
    <w:p w:rsidR="00F31546" w:rsidRPr="00F31546" w:rsidRDefault="00325AF5" w:rsidP="00F31546">
      <w:pPr>
        <w:ind w:firstLine="720"/>
        <w:jc w:val="both"/>
        <w:rPr>
          <w:rFonts w:ascii="Times New Roman" w:hAnsi="Times New Roman"/>
          <w:sz w:val="28"/>
          <w:szCs w:val="28"/>
        </w:rPr>
      </w:pPr>
      <w:r w:rsidRPr="00531E4D">
        <w:rPr>
          <w:rFonts w:ascii="Times New Roman" w:hAnsi="Times New Roman"/>
          <w:b/>
          <w:i/>
          <w:color w:val="000000"/>
          <w:sz w:val="28"/>
          <w:szCs w:val="28"/>
        </w:rPr>
        <w:t>Консолидированный бюджет</w:t>
      </w:r>
      <w:r w:rsidRPr="00531E4D">
        <w:rPr>
          <w:rFonts w:ascii="Times New Roman" w:hAnsi="Times New Roman"/>
          <w:color w:val="000000"/>
          <w:sz w:val="28"/>
          <w:szCs w:val="28"/>
        </w:rPr>
        <w:t xml:space="preserve"> автономного округа (без учета доходов территориальных</w:t>
      </w:r>
      <w:r w:rsidRPr="00F31546">
        <w:rPr>
          <w:rFonts w:ascii="Times New Roman" w:hAnsi="Times New Roman"/>
          <w:sz w:val="28"/>
          <w:szCs w:val="28"/>
        </w:rPr>
        <w:t xml:space="preserve"> внебюджетных фондов) исполнен по доходам в сумме 229,1 млрд. рублей (2016 год – 245,8 млрд. рублей). </w:t>
      </w:r>
      <w:r w:rsidR="003702C6" w:rsidRPr="00F31546">
        <w:rPr>
          <w:rFonts w:ascii="Times New Roman" w:hAnsi="Times New Roman"/>
          <w:sz w:val="28"/>
          <w:szCs w:val="28"/>
        </w:rPr>
        <w:t>Несмотря на то, что р</w:t>
      </w:r>
      <w:r w:rsidRPr="00F31546">
        <w:rPr>
          <w:rFonts w:ascii="Times New Roman" w:hAnsi="Times New Roman"/>
          <w:sz w:val="28"/>
          <w:szCs w:val="28"/>
        </w:rPr>
        <w:t xml:space="preserve">асходы консолидированного бюджета автономного округа </w:t>
      </w:r>
      <w:r w:rsidR="003702C6" w:rsidRPr="00F31546">
        <w:rPr>
          <w:rFonts w:ascii="Times New Roman" w:hAnsi="Times New Roman"/>
          <w:sz w:val="28"/>
          <w:szCs w:val="28"/>
        </w:rPr>
        <w:t xml:space="preserve">несколько снизились </w:t>
      </w:r>
      <w:r w:rsidRPr="00F31546">
        <w:rPr>
          <w:rFonts w:ascii="Times New Roman" w:hAnsi="Times New Roman"/>
          <w:sz w:val="28"/>
          <w:szCs w:val="28"/>
        </w:rPr>
        <w:t>(без учета расходов тер</w:t>
      </w:r>
      <w:r w:rsidR="003702C6" w:rsidRPr="00F31546">
        <w:rPr>
          <w:rFonts w:ascii="Times New Roman" w:hAnsi="Times New Roman"/>
          <w:sz w:val="28"/>
          <w:szCs w:val="28"/>
        </w:rPr>
        <w:t xml:space="preserve">риториальных внебюджетных фондов они </w:t>
      </w:r>
      <w:r w:rsidRPr="00F31546">
        <w:rPr>
          <w:rFonts w:ascii="Times New Roman" w:hAnsi="Times New Roman"/>
          <w:sz w:val="28"/>
          <w:szCs w:val="28"/>
        </w:rPr>
        <w:t xml:space="preserve">составили 246,4 млрд. рублей, что на 3,3 % </w:t>
      </w:r>
      <w:r w:rsidR="003702C6" w:rsidRPr="00F31546">
        <w:rPr>
          <w:rFonts w:ascii="Times New Roman" w:hAnsi="Times New Roman"/>
          <w:sz w:val="28"/>
          <w:szCs w:val="28"/>
        </w:rPr>
        <w:t xml:space="preserve">ниже, чем за 2016 год </w:t>
      </w:r>
      <w:r w:rsidR="00BD68C9">
        <w:rPr>
          <w:rFonts w:ascii="Times New Roman" w:hAnsi="Times New Roman"/>
          <w:sz w:val="28"/>
          <w:szCs w:val="28"/>
        </w:rPr>
        <w:t>–</w:t>
      </w:r>
      <w:r w:rsidR="003702C6" w:rsidRPr="00F31546">
        <w:rPr>
          <w:rFonts w:ascii="Times New Roman" w:hAnsi="Times New Roman"/>
          <w:sz w:val="28"/>
          <w:szCs w:val="28"/>
        </w:rPr>
        <w:t xml:space="preserve"> 254,9млрд. рублей) в</w:t>
      </w:r>
      <w:r w:rsidRPr="00F31546">
        <w:rPr>
          <w:rFonts w:ascii="Times New Roman" w:eastAsia="Courier New" w:hAnsi="Times New Roman"/>
          <w:sz w:val="28"/>
          <w:szCs w:val="28"/>
        </w:rPr>
        <w:t>се социальные приоритеты, установленные законодательством Российской Федерации и автономного округа, а также указами Президента Российской Федера</w:t>
      </w:r>
      <w:r w:rsidR="00F31546">
        <w:rPr>
          <w:rFonts w:ascii="Times New Roman" w:eastAsia="Courier New" w:hAnsi="Times New Roman"/>
          <w:sz w:val="28"/>
          <w:szCs w:val="28"/>
        </w:rPr>
        <w:t>ции, исполнены в полном объеме;</w:t>
      </w:r>
      <w:r w:rsidR="00F31546" w:rsidRPr="00F31546">
        <w:rPr>
          <w:rFonts w:ascii="Times New Roman" w:hAnsi="Times New Roman"/>
          <w:sz w:val="28"/>
          <w:szCs w:val="28"/>
        </w:rPr>
        <w:t>ме</w:t>
      </w:r>
      <w:r w:rsidR="00F31546">
        <w:rPr>
          <w:rFonts w:ascii="Times New Roman" w:hAnsi="Times New Roman"/>
          <w:sz w:val="28"/>
          <w:szCs w:val="28"/>
        </w:rPr>
        <w:t>ры социальной поддержки получают</w:t>
      </w:r>
      <w:r w:rsidR="00F31546" w:rsidRPr="00F31546">
        <w:rPr>
          <w:rFonts w:ascii="Times New Roman" w:hAnsi="Times New Roman"/>
          <w:sz w:val="28"/>
          <w:szCs w:val="28"/>
        </w:rPr>
        <w:t xml:space="preserve"> 24,8 % граждан от общей численности населения.</w:t>
      </w:r>
    </w:p>
    <w:p w:rsidR="003702C6" w:rsidRPr="005771D6" w:rsidRDefault="00F31546" w:rsidP="00F31546">
      <w:pPr>
        <w:ind w:firstLine="720"/>
        <w:jc w:val="both"/>
        <w:rPr>
          <w:rFonts w:ascii="Times New Roman" w:hAnsi="Times New Roman"/>
          <w:color w:val="000000"/>
          <w:sz w:val="28"/>
          <w:szCs w:val="28"/>
          <w:u w:val="single"/>
        </w:rPr>
      </w:pPr>
      <w:r w:rsidRPr="00F31546">
        <w:rPr>
          <w:rFonts w:ascii="Times New Roman" w:hAnsi="Times New Roman"/>
          <w:color w:val="000000"/>
          <w:sz w:val="28"/>
          <w:szCs w:val="28"/>
        </w:rPr>
        <w:t xml:space="preserve">От общего </w:t>
      </w:r>
      <w:r w:rsidR="00325AF5" w:rsidRPr="00F31546">
        <w:rPr>
          <w:rFonts w:ascii="Times New Roman" w:hAnsi="Times New Roman"/>
          <w:color w:val="000000"/>
          <w:sz w:val="28"/>
          <w:szCs w:val="28"/>
        </w:rPr>
        <w:t>объема расходов консолидированного бюджета автономного округа</w:t>
      </w:r>
      <w:r w:rsidR="003423BC" w:rsidRPr="00F31546">
        <w:rPr>
          <w:rFonts w:ascii="Times New Roman" w:hAnsi="Times New Roman"/>
          <w:color w:val="000000"/>
          <w:sz w:val="28"/>
          <w:szCs w:val="28"/>
        </w:rPr>
        <w:t xml:space="preserve"> в 2017 году</w:t>
      </w:r>
      <w:r w:rsidR="00325AF5" w:rsidRPr="00F31546">
        <w:rPr>
          <w:rFonts w:ascii="Times New Roman" w:hAnsi="Times New Roman"/>
          <w:color w:val="000000"/>
          <w:sz w:val="28"/>
          <w:szCs w:val="28"/>
        </w:rPr>
        <w:t xml:space="preserve"> 67,3 % направлено на развитие здравоохранения, образования, социальной политики, </w:t>
      </w:r>
      <w:r w:rsidR="003702C6" w:rsidRPr="00F31546">
        <w:rPr>
          <w:rFonts w:ascii="Times New Roman" w:hAnsi="Times New Roman"/>
          <w:color w:val="000000"/>
          <w:sz w:val="28"/>
          <w:szCs w:val="28"/>
        </w:rPr>
        <w:t xml:space="preserve">культуры, физкультуры и спорта (в 2016 году </w:t>
      </w:r>
      <w:r w:rsidR="00BD68C9">
        <w:rPr>
          <w:rFonts w:ascii="Times New Roman" w:hAnsi="Times New Roman"/>
          <w:color w:val="000000"/>
          <w:sz w:val="28"/>
          <w:szCs w:val="28"/>
        </w:rPr>
        <w:t>–</w:t>
      </w:r>
      <w:r w:rsidR="003423BC" w:rsidRPr="00F31546">
        <w:rPr>
          <w:rFonts w:ascii="Times New Roman" w:hAnsi="Times New Roman"/>
          <w:color w:val="000000"/>
          <w:sz w:val="28"/>
          <w:szCs w:val="28"/>
        </w:rPr>
        <w:t xml:space="preserve">65,5 %, </w:t>
      </w:r>
      <w:r w:rsidR="003702C6" w:rsidRPr="00F31546">
        <w:rPr>
          <w:rFonts w:ascii="Times New Roman" w:hAnsi="Times New Roman"/>
          <w:color w:val="000000"/>
          <w:sz w:val="28"/>
          <w:szCs w:val="28"/>
        </w:rPr>
        <w:t>в 2015 году – 61</w:t>
      </w:r>
      <w:r w:rsidR="003702C6" w:rsidRPr="005771D6">
        <w:rPr>
          <w:rFonts w:ascii="Times New Roman" w:hAnsi="Times New Roman"/>
          <w:color w:val="000000"/>
          <w:sz w:val="28"/>
          <w:szCs w:val="28"/>
        </w:rPr>
        <w:t xml:space="preserve">,1 %, в благополучном 2014 году – 67,5 %) – рис. 2. </w:t>
      </w:r>
      <w:r w:rsidR="00325AF5" w:rsidRPr="005771D6">
        <w:rPr>
          <w:rFonts w:ascii="Times New Roman" w:hAnsi="Times New Roman"/>
          <w:color w:val="000000"/>
          <w:sz w:val="28"/>
          <w:szCs w:val="28"/>
        </w:rPr>
        <w:t>В абсолю</w:t>
      </w:r>
      <w:r w:rsidR="003702C6" w:rsidRPr="005771D6">
        <w:rPr>
          <w:rFonts w:ascii="Times New Roman" w:hAnsi="Times New Roman"/>
          <w:color w:val="000000"/>
          <w:sz w:val="28"/>
          <w:szCs w:val="28"/>
        </w:rPr>
        <w:t xml:space="preserve">тной сумме – 166,0 млрд. </w:t>
      </w:r>
      <w:r w:rsidR="003423BC" w:rsidRPr="005771D6">
        <w:rPr>
          <w:rFonts w:ascii="Times New Roman" w:hAnsi="Times New Roman"/>
          <w:color w:val="000000"/>
          <w:sz w:val="28"/>
          <w:szCs w:val="28"/>
        </w:rPr>
        <w:t>р</w:t>
      </w:r>
      <w:r w:rsidR="003702C6" w:rsidRPr="005771D6">
        <w:rPr>
          <w:rFonts w:ascii="Times New Roman" w:hAnsi="Times New Roman"/>
          <w:color w:val="000000"/>
          <w:sz w:val="28"/>
          <w:szCs w:val="28"/>
        </w:rPr>
        <w:t>ублей (в 2016 году</w:t>
      </w:r>
      <w:r w:rsidR="00BD68C9">
        <w:rPr>
          <w:rFonts w:ascii="Times New Roman" w:hAnsi="Times New Roman"/>
          <w:color w:val="000000"/>
          <w:sz w:val="28"/>
          <w:szCs w:val="28"/>
        </w:rPr>
        <w:t>–</w:t>
      </w:r>
      <w:r w:rsidR="003702C6" w:rsidRPr="005771D6">
        <w:rPr>
          <w:rFonts w:ascii="Times New Roman" w:hAnsi="Times New Roman"/>
          <w:color w:val="000000"/>
          <w:sz w:val="28"/>
          <w:szCs w:val="28"/>
        </w:rPr>
        <w:t xml:space="preserve"> 166,9 млрд. </w:t>
      </w:r>
      <w:r w:rsidR="000B26D8" w:rsidRPr="005771D6">
        <w:rPr>
          <w:rFonts w:ascii="Times New Roman" w:hAnsi="Times New Roman"/>
          <w:color w:val="000000"/>
          <w:sz w:val="28"/>
          <w:szCs w:val="28"/>
        </w:rPr>
        <w:t>рублей</w:t>
      </w:r>
      <w:r w:rsidR="003702C6" w:rsidRPr="005771D6">
        <w:rPr>
          <w:rFonts w:ascii="Times New Roman" w:eastAsia="Times New Roman" w:hAnsi="Times New Roman"/>
          <w:color w:val="000000"/>
          <w:sz w:val="28"/>
          <w:szCs w:val="28"/>
          <w:lang w:eastAsia="ru-RU"/>
        </w:rPr>
        <w:t xml:space="preserve">, в 2015 году </w:t>
      </w:r>
      <w:r w:rsidR="00BD68C9">
        <w:rPr>
          <w:rFonts w:ascii="Times New Roman" w:eastAsia="Times New Roman" w:hAnsi="Times New Roman"/>
          <w:color w:val="000000"/>
          <w:sz w:val="28"/>
          <w:szCs w:val="28"/>
          <w:lang w:eastAsia="ru-RU"/>
        </w:rPr>
        <w:t>–</w:t>
      </w:r>
      <w:r w:rsidR="003702C6" w:rsidRPr="005771D6">
        <w:rPr>
          <w:rFonts w:ascii="Times New Roman" w:eastAsia="Times New Roman" w:hAnsi="Times New Roman"/>
          <w:color w:val="000000"/>
          <w:sz w:val="28"/>
          <w:szCs w:val="28"/>
          <w:lang w:eastAsia="ru-RU"/>
        </w:rPr>
        <w:t xml:space="preserve"> 163,8 млрд. рублей, в 2014 году </w:t>
      </w:r>
      <w:r w:rsidR="00BD68C9">
        <w:rPr>
          <w:rFonts w:ascii="Times New Roman" w:eastAsia="Times New Roman" w:hAnsi="Times New Roman"/>
          <w:color w:val="000000"/>
          <w:sz w:val="28"/>
          <w:szCs w:val="28"/>
          <w:lang w:eastAsia="ru-RU"/>
        </w:rPr>
        <w:t>–</w:t>
      </w:r>
      <w:r w:rsidR="003702C6" w:rsidRPr="005771D6">
        <w:rPr>
          <w:rFonts w:ascii="Times New Roman" w:eastAsia="Times New Roman" w:hAnsi="Times New Roman"/>
          <w:color w:val="000000"/>
          <w:sz w:val="28"/>
          <w:szCs w:val="28"/>
          <w:lang w:eastAsia="ru-RU"/>
        </w:rPr>
        <w:t xml:space="preserve"> 161,3 млрд. рублей)</w:t>
      </w:r>
      <w:r w:rsidR="003702C6" w:rsidRPr="005771D6">
        <w:rPr>
          <w:rFonts w:ascii="Times New Roman" w:hAnsi="Times New Roman"/>
          <w:color w:val="000000"/>
          <w:sz w:val="28"/>
          <w:szCs w:val="28"/>
        </w:rPr>
        <w:t>.</w:t>
      </w:r>
    </w:p>
    <w:p w:rsidR="00ED12BF" w:rsidRDefault="00ED12BF" w:rsidP="00962AC4">
      <w:pPr>
        <w:widowControl w:val="0"/>
        <w:autoSpaceDE w:val="0"/>
        <w:autoSpaceDN w:val="0"/>
        <w:adjustRightInd w:val="0"/>
        <w:spacing w:after="0" w:line="240" w:lineRule="auto"/>
        <w:jc w:val="both"/>
        <w:rPr>
          <w:rFonts w:ascii="Times New Roman" w:eastAsia="Times New Roman" w:hAnsi="Times New Roman"/>
          <w:b/>
          <w:color w:val="000000"/>
          <w:sz w:val="28"/>
          <w:szCs w:val="28"/>
          <w:lang w:eastAsia="ru-RU"/>
        </w:rPr>
      </w:pPr>
    </w:p>
    <w:p w:rsidR="00ED12BF" w:rsidRDefault="00752DFD" w:rsidP="00642D6E">
      <w:pPr>
        <w:widowControl w:val="0"/>
        <w:autoSpaceDE w:val="0"/>
        <w:autoSpaceDN w:val="0"/>
        <w:adjustRightInd w:val="0"/>
        <w:spacing w:after="0" w:line="240" w:lineRule="auto"/>
        <w:ind w:firstLine="720"/>
        <w:jc w:val="both"/>
        <w:rPr>
          <w:rFonts w:ascii="Times New Roman" w:eastAsia="Times New Roman" w:hAnsi="Times New Roman"/>
          <w:b/>
          <w:color w:val="000000"/>
          <w:sz w:val="28"/>
          <w:szCs w:val="28"/>
          <w:lang w:eastAsia="ru-RU"/>
        </w:rPr>
      </w:pPr>
      <w:r w:rsidRPr="008D7650">
        <w:rPr>
          <w:noProof/>
          <w:lang w:eastAsia="ru-RU"/>
        </w:rPr>
        <w:drawing>
          <wp:inline distT="0" distB="0" distL="0" distR="0">
            <wp:extent cx="5486400" cy="3200400"/>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12BF" w:rsidRDefault="00ED12BF" w:rsidP="00642D6E">
      <w:pPr>
        <w:widowControl w:val="0"/>
        <w:autoSpaceDE w:val="0"/>
        <w:autoSpaceDN w:val="0"/>
        <w:adjustRightInd w:val="0"/>
        <w:spacing w:after="0" w:line="240" w:lineRule="auto"/>
        <w:ind w:firstLine="720"/>
        <w:jc w:val="both"/>
        <w:rPr>
          <w:rFonts w:ascii="Times New Roman" w:eastAsia="Times New Roman" w:hAnsi="Times New Roman"/>
          <w:b/>
          <w:color w:val="000000"/>
          <w:sz w:val="28"/>
          <w:szCs w:val="28"/>
          <w:lang w:eastAsia="ru-RU"/>
        </w:rPr>
      </w:pPr>
    </w:p>
    <w:p w:rsidR="00ED12BF" w:rsidRDefault="00ED12BF" w:rsidP="00642D6E">
      <w:pPr>
        <w:widowControl w:val="0"/>
        <w:autoSpaceDE w:val="0"/>
        <w:autoSpaceDN w:val="0"/>
        <w:adjustRightInd w:val="0"/>
        <w:spacing w:after="0" w:line="240" w:lineRule="auto"/>
        <w:ind w:firstLine="720"/>
        <w:jc w:val="both"/>
        <w:rPr>
          <w:rFonts w:ascii="Times New Roman" w:eastAsia="Times New Roman" w:hAnsi="Times New Roman"/>
          <w:b/>
          <w:color w:val="000000"/>
          <w:sz w:val="28"/>
          <w:szCs w:val="28"/>
          <w:lang w:eastAsia="ru-RU"/>
        </w:rPr>
      </w:pPr>
    </w:p>
    <w:p w:rsidR="00642D6E" w:rsidRPr="00E32AB6" w:rsidRDefault="00642D6E" w:rsidP="00962AC4">
      <w:pPr>
        <w:widowControl w:val="0"/>
        <w:autoSpaceDE w:val="0"/>
        <w:autoSpaceDN w:val="0"/>
        <w:adjustRightInd w:val="0"/>
        <w:spacing w:after="0" w:line="240" w:lineRule="auto"/>
        <w:jc w:val="both"/>
        <w:rPr>
          <w:rFonts w:ascii="Times New Roman" w:eastAsia="Times New Roman" w:hAnsi="Times New Roman"/>
          <w:b/>
          <w:color w:val="000000"/>
          <w:sz w:val="28"/>
          <w:szCs w:val="28"/>
          <w:highlight w:val="yellow"/>
          <w:lang w:eastAsia="ru-RU"/>
        </w:rPr>
      </w:pPr>
      <w:r w:rsidRPr="00E32AB6">
        <w:rPr>
          <w:rFonts w:ascii="Times New Roman" w:eastAsia="Times New Roman" w:hAnsi="Times New Roman"/>
          <w:b/>
          <w:color w:val="000000"/>
          <w:sz w:val="28"/>
          <w:szCs w:val="28"/>
          <w:lang w:eastAsia="ru-RU"/>
        </w:rPr>
        <w:t>Рис.2. Динамика доли расходов консолидированного бюджета Ханты-Мансийского автономного округа - Югры, направленного на развитие здравоохранения, образования, социальной политики, культуры, физической культуры и спорта (в %)</w:t>
      </w:r>
    </w:p>
    <w:p w:rsidR="00642D6E" w:rsidRDefault="00642D6E" w:rsidP="008B7594">
      <w:pPr>
        <w:spacing w:after="0"/>
        <w:jc w:val="both"/>
        <w:rPr>
          <w:rFonts w:ascii="Times New Roman" w:hAnsi="Times New Roman"/>
          <w:color w:val="FF0000"/>
          <w:sz w:val="28"/>
          <w:szCs w:val="28"/>
        </w:rPr>
      </w:pPr>
    </w:p>
    <w:p w:rsidR="003F5723" w:rsidRPr="0078029B" w:rsidRDefault="008B7594" w:rsidP="0078029B">
      <w:pPr>
        <w:ind w:firstLine="708"/>
        <w:jc w:val="both"/>
        <w:rPr>
          <w:rFonts w:ascii="Times New Roman" w:hAnsi="Times New Roman"/>
          <w:sz w:val="28"/>
          <w:szCs w:val="28"/>
        </w:rPr>
      </w:pPr>
      <w:r w:rsidRPr="00531E4D">
        <w:rPr>
          <w:rFonts w:ascii="Times New Roman" w:hAnsi="Times New Roman"/>
          <w:color w:val="000000"/>
          <w:sz w:val="28"/>
          <w:szCs w:val="28"/>
        </w:rPr>
        <w:t xml:space="preserve">Экономическое развитие региона обеспечивает устойчивую занятость населения. </w:t>
      </w:r>
      <w:r w:rsidR="00E4148D" w:rsidRPr="003F5723">
        <w:rPr>
          <w:rFonts w:ascii="Times New Roman" w:hAnsi="Times New Roman"/>
          <w:sz w:val="28"/>
          <w:szCs w:val="28"/>
        </w:rPr>
        <w:t xml:space="preserve">Численность официально зарегистрированных безработных по состоянию на 1 января 2018 года составила 4,5 тыс. человек, что на 13,8 % меньше чем на </w:t>
      </w:r>
      <w:r w:rsidR="00E4148D" w:rsidRPr="0078029B">
        <w:rPr>
          <w:rFonts w:ascii="Times New Roman" w:hAnsi="Times New Roman"/>
          <w:sz w:val="28"/>
          <w:szCs w:val="28"/>
        </w:rPr>
        <w:t xml:space="preserve">1 января 2017 года – 5,2 тыс. человек. </w:t>
      </w:r>
      <w:r w:rsidR="003F5723" w:rsidRPr="0078029B">
        <w:rPr>
          <w:rFonts w:ascii="Times New Roman" w:hAnsi="Times New Roman"/>
          <w:sz w:val="28"/>
          <w:szCs w:val="28"/>
        </w:rPr>
        <w:t>Спрос работодателей н</w:t>
      </w:r>
      <w:r w:rsidR="0078029B" w:rsidRPr="0078029B">
        <w:rPr>
          <w:rFonts w:ascii="Times New Roman" w:hAnsi="Times New Roman"/>
          <w:sz w:val="28"/>
          <w:szCs w:val="28"/>
        </w:rPr>
        <w:t>а рабочую силу увеличился на 8,6</w:t>
      </w:r>
      <w:r w:rsidR="003F5723" w:rsidRPr="0078029B">
        <w:rPr>
          <w:rFonts w:ascii="Times New Roman" w:hAnsi="Times New Roman"/>
          <w:sz w:val="28"/>
          <w:szCs w:val="28"/>
        </w:rPr>
        <w:t xml:space="preserve"> % и составил 13,6 тыс. ед. против 12,5 тыс. ед. на 1 января 2017 года.</w:t>
      </w:r>
      <w:r w:rsidR="0078029B" w:rsidRPr="0078029B">
        <w:rPr>
          <w:rFonts w:ascii="Times New Roman" w:hAnsi="Times New Roman"/>
          <w:sz w:val="28"/>
          <w:szCs w:val="28"/>
        </w:rPr>
        <w:t xml:space="preserve"> Коэффициент напряженности по округу снизился с 0,6 до 0,5 человек на 1 рабочее место (</w:t>
      </w:r>
      <w:r w:rsidR="00537883" w:rsidRPr="0078029B">
        <w:rPr>
          <w:rFonts w:ascii="Times New Roman" w:hAnsi="Times New Roman"/>
          <w:sz w:val="28"/>
          <w:szCs w:val="28"/>
        </w:rPr>
        <w:t>на 1 января 2018 года</w:t>
      </w:r>
      <w:r w:rsidR="0078029B" w:rsidRPr="0078029B">
        <w:rPr>
          <w:rFonts w:ascii="Times New Roman" w:hAnsi="Times New Roman"/>
          <w:sz w:val="28"/>
          <w:szCs w:val="28"/>
        </w:rPr>
        <w:t>по Российской Федерации коэффициент напряженности составил</w:t>
      </w:r>
      <w:r w:rsidR="00537883">
        <w:rPr>
          <w:rFonts w:ascii="Times New Roman" w:hAnsi="Times New Roman"/>
          <w:sz w:val="28"/>
          <w:szCs w:val="28"/>
        </w:rPr>
        <w:t xml:space="preserve"> 0,6 человек на 1 рабочее место</w:t>
      </w:r>
      <w:r w:rsidR="0078029B" w:rsidRPr="0078029B">
        <w:rPr>
          <w:rFonts w:ascii="Times New Roman" w:hAnsi="Times New Roman"/>
          <w:sz w:val="28"/>
          <w:szCs w:val="28"/>
        </w:rPr>
        <w:t>, по Уральскому федеральному округу – 0,7</w:t>
      </w:r>
      <w:r w:rsidR="00587570">
        <w:rPr>
          <w:rFonts w:ascii="Times New Roman" w:hAnsi="Times New Roman"/>
          <w:sz w:val="28"/>
          <w:szCs w:val="28"/>
        </w:rPr>
        <w:t xml:space="preserve"> человек</w:t>
      </w:r>
      <w:r w:rsidR="0078029B" w:rsidRPr="0078029B">
        <w:rPr>
          <w:rFonts w:ascii="Times New Roman" w:hAnsi="Times New Roman"/>
          <w:sz w:val="28"/>
          <w:szCs w:val="28"/>
        </w:rPr>
        <w:t>.)</w:t>
      </w:r>
    </w:p>
    <w:p w:rsidR="00B4269F" w:rsidRPr="003F5723" w:rsidRDefault="00AC1F3B" w:rsidP="0078029B">
      <w:pPr>
        <w:ind w:firstLine="708"/>
        <w:jc w:val="both"/>
        <w:rPr>
          <w:sz w:val="28"/>
          <w:szCs w:val="28"/>
        </w:rPr>
      </w:pPr>
      <w:r w:rsidRPr="0078029B">
        <w:rPr>
          <w:rFonts w:ascii="Times New Roman" w:eastAsia="Times New Roman" w:hAnsi="Times New Roman"/>
          <w:color w:val="000000"/>
          <w:sz w:val="28"/>
          <w:szCs w:val="28"/>
          <w:lang w:eastAsia="ru-RU"/>
        </w:rPr>
        <w:t>Ханты-Мансийский автономный округ – Югра</w:t>
      </w:r>
      <w:r w:rsidR="003702C6" w:rsidRPr="0078029B">
        <w:rPr>
          <w:rFonts w:ascii="Times New Roman" w:hAnsi="Times New Roman"/>
          <w:color w:val="000000"/>
          <w:sz w:val="28"/>
          <w:szCs w:val="28"/>
        </w:rPr>
        <w:t xml:space="preserve"> входит в число субъектов Российской Федерации</w:t>
      </w:r>
      <w:r w:rsidR="003702C6" w:rsidRPr="00531E4D">
        <w:rPr>
          <w:rFonts w:ascii="Times New Roman" w:hAnsi="Times New Roman"/>
          <w:color w:val="000000"/>
          <w:sz w:val="28"/>
          <w:szCs w:val="28"/>
        </w:rPr>
        <w:t xml:space="preserve">, имеющих наименьший уровень зарегистрированной безработицы </w:t>
      </w:r>
      <w:r w:rsidR="00B4269F" w:rsidRPr="00531E4D">
        <w:rPr>
          <w:rFonts w:ascii="Times New Roman" w:hAnsi="Times New Roman"/>
          <w:color w:val="000000"/>
          <w:sz w:val="28"/>
          <w:szCs w:val="28"/>
        </w:rPr>
        <w:t xml:space="preserve">– 0,49 % от численности экономически активного населения (на 1 января 2017 года – 0,57 %), его значение в два раза ниже, чем в среднем по России и Уральскому Федеральному округу </w:t>
      </w:r>
      <w:r w:rsidR="00537883">
        <w:rPr>
          <w:rFonts w:ascii="Times New Roman" w:hAnsi="Times New Roman"/>
          <w:color w:val="000000"/>
          <w:sz w:val="28"/>
          <w:szCs w:val="28"/>
        </w:rPr>
        <w:br/>
      </w:r>
      <w:r w:rsidR="00B4269F" w:rsidRPr="00531E4D">
        <w:rPr>
          <w:rFonts w:ascii="Times New Roman" w:hAnsi="Times New Roman"/>
          <w:color w:val="000000"/>
          <w:sz w:val="28"/>
          <w:szCs w:val="28"/>
        </w:rPr>
        <w:t>(на 1 января 2018 года в РФ – 1,0 %, в УФО – 1,1 %). Среди субъектов Уральского Федерального округа в Югре самый низкий уровень регистрируемой безработицы.</w:t>
      </w:r>
    </w:p>
    <w:p w:rsidR="00B4269F" w:rsidRPr="00D775DD" w:rsidRDefault="00B4269F" w:rsidP="00B4269F">
      <w:pPr>
        <w:ind w:firstLine="709"/>
        <w:jc w:val="both"/>
        <w:rPr>
          <w:b/>
          <w:color w:val="0070C0"/>
          <w:sz w:val="28"/>
          <w:szCs w:val="28"/>
        </w:rPr>
      </w:pPr>
    </w:p>
    <w:p w:rsidR="000269C4" w:rsidRPr="00526F55" w:rsidRDefault="00AC1F3B" w:rsidP="000269C4">
      <w:pPr>
        <w:spacing w:after="0"/>
        <w:ind w:firstLine="709"/>
        <w:jc w:val="both"/>
        <w:rPr>
          <w:rFonts w:ascii="Times New Roman" w:eastAsia="Times New Roman" w:hAnsi="Times New Roman"/>
          <w:color w:val="FF0000"/>
          <w:sz w:val="28"/>
          <w:szCs w:val="28"/>
          <w:lang w:eastAsia="ru-RU"/>
        </w:rPr>
      </w:pPr>
      <w:r w:rsidRPr="00526F55">
        <w:rPr>
          <w:noProof/>
          <w:color w:val="FF0000"/>
          <w:sz w:val="28"/>
          <w:szCs w:val="28"/>
          <w:lang w:eastAsia="ru-RU"/>
        </w:rPr>
        <w:object w:dxaOrig="7960" w:dyaOrig="3760">
          <v:shape id="_x0000_i1026" type="#_x0000_t75" style="width:399.15pt;height:188.35pt" o:ole="">
            <v:imagedata r:id="rId12" o:title="" cropbottom="-210f"/>
            <o:lock v:ext="edit" aspectratio="f"/>
          </v:shape>
          <o:OLEObject Type="Embed" ProgID="Excel.Sheet.8" ShapeID="_x0000_i1026" DrawAspect="Content" ObjectID="_1581847157" r:id="rId13">
            <o:FieldCodes>\s</o:FieldCodes>
          </o:OLEObject>
        </w:object>
      </w:r>
    </w:p>
    <w:p w:rsidR="000269C4" w:rsidRPr="00526F55" w:rsidRDefault="000269C4" w:rsidP="000269C4">
      <w:pPr>
        <w:spacing w:after="0"/>
        <w:ind w:firstLine="709"/>
        <w:jc w:val="both"/>
        <w:rPr>
          <w:rFonts w:ascii="Times New Roman" w:eastAsia="Times New Roman" w:hAnsi="Times New Roman"/>
          <w:color w:val="FF0000"/>
          <w:sz w:val="28"/>
          <w:szCs w:val="28"/>
          <w:lang w:eastAsia="ru-RU"/>
        </w:rPr>
      </w:pPr>
    </w:p>
    <w:p w:rsidR="000269C4" w:rsidRPr="00531E4D" w:rsidRDefault="000269C4" w:rsidP="000269C4">
      <w:pPr>
        <w:spacing w:after="0"/>
        <w:ind w:firstLine="709"/>
        <w:jc w:val="both"/>
        <w:rPr>
          <w:rFonts w:ascii="Times New Roman" w:eastAsia="Times New Roman" w:hAnsi="Times New Roman"/>
          <w:b/>
          <w:color w:val="000000"/>
          <w:sz w:val="28"/>
          <w:szCs w:val="28"/>
          <w:lang w:eastAsia="ru-RU"/>
        </w:rPr>
      </w:pPr>
      <w:r w:rsidRPr="00531E4D">
        <w:rPr>
          <w:rFonts w:ascii="Times New Roman" w:eastAsia="Times New Roman" w:hAnsi="Times New Roman"/>
          <w:b/>
          <w:color w:val="000000"/>
          <w:sz w:val="28"/>
          <w:szCs w:val="28"/>
          <w:lang w:eastAsia="ru-RU"/>
        </w:rPr>
        <w:t xml:space="preserve">Рис. 3. Уровень регистрируемой безработицы в РФ, УФО и ХМАО-Югре на 1 января 2018 года. </w:t>
      </w:r>
    </w:p>
    <w:p w:rsidR="00DD48BB" w:rsidRDefault="00DD48BB" w:rsidP="00DD48BB">
      <w:pPr>
        <w:ind w:firstLine="708"/>
        <w:jc w:val="both"/>
        <w:rPr>
          <w:noProof/>
          <w:sz w:val="28"/>
          <w:szCs w:val="28"/>
        </w:rPr>
      </w:pPr>
    </w:p>
    <w:p w:rsidR="0078029B" w:rsidRPr="00112050" w:rsidRDefault="0078029B" w:rsidP="00DD48BB">
      <w:pPr>
        <w:ind w:firstLine="708"/>
        <w:jc w:val="both"/>
        <w:rPr>
          <w:rFonts w:ascii="Times New Roman" w:hAnsi="Times New Roman"/>
          <w:noProof/>
          <w:sz w:val="28"/>
          <w:szCs w:val="28"/>
        </w:rPr>
      </w:pPr>
      <w:r w:rsidRPr="00112050">
        <w:rPr>
          <w:rFonts w:ascii="Times New Roman" w:hAnsi="Times New Roman"/>
          <w:noProof/>
          <w:sz w:val="28"/>
          <w:szCs w:val="28"/>
        </w:rPr>
        <w:t xml:space="preserve">В течение 2017 года за содействием в поиске подходящей работы в органы службы занятости населения автономного округа обратилось 50 526 человек, что на 6,6%  или на 3 568 человек меньше, чем годом ранее </w:t>
      </w:r>
      <w:r w:rsidR="00C11E17">
        <w:rPr>
          <w:rFonts w:ascii="Times New Roman" w:hAnsi="Times New Roman"/>
          <w:noProof/>
          <w:sz w:val="28"/>
          <w:szCs w:val="28"/>
        </w:rPr>
        <w:br/>
      </w:r>
      <w:r w:rsidRPr="00112050">
        <w:rPr>
          <w:rFonts w:ascii="Times New Roman" w:hAnsi="Times New Roman"/>
          <w:noProof/>
          <w:sz w:val="28"/>
          <w:szCs w:val="28"/>
        </w:rPr>
        <w:t xml:space="preserve">(в 2016 году – 54 094 человека). </w:t>
      </w:r>
    </w:p>
    <w:p w:rsidR="0078029B" w:rsidRPr="00112050" w:rsidRDefault="0078029B" w:rsidP="00112050">
      <w:pPr>
        <w:ind w:firstLine="709"/>
        <w:jc w:val="both"/>
        <w:rPr>
          <w:rFonts w:ascii="Times New Roman" w:hAnsi="Times New Roman"/>
          <w:noProof/>
          <w:sz w:val="28"/>
          <w:szCs w:val="28"/>
        </w:rPr>
      </w:pPr>
      <w:r w:rsidRPr="00112050">
        <w:rPr>
          <w:rFonts w:ascii="Times New Roman" w:hAnsi="Times New Roman"/>
          <w:noProof/>
          <w:sz w:val="28"/>
          <w:szCs w:val="28"/>
        </w:rPr>
        <w:t xml:space="preserve">Численность граждан, признанных безработными в 2017 году, составила 12 953 человека и в сравнении с прошлым годом снизилась на </w:t>
      </w:r>
      <w:r w:rsidR="00BD68C9">
        <w:rPr>
          <w:rFonts w:ascii="Times New Roman" w:hAnsi="Times New Roman"/>
          <w:noProof/>
          <w:sz w:val="28"/>
          <w:szCs w:val="28"/>
        </w:rPr>
        <w:br/>
      </w:r>
      <w:r w:rsidRPr="00112050">
        <w:rPr>
          <w:rFonts w:ascii="Times New Roman" w:hAnsi="Times New Roman"/>
          <w:noProof/>
          <w:sz w:val="28"/>
          <w:szCs w:val="28"/>
        </w:rPr>
        <w:t xml:space="preserve">1 789 человек, или на 12,1% (в 2016 году – 14 742 человека). </w:t>
      </w:r>
    </w:p>
    <w:p w:rsidR="00112050" w:rsidRPr="00112050" w:rsidRDefault="0078029B" w:rsidP="00112050">
      <w:pPr>
        <w:ind w:firstLine="708"/>
        <w:jc w:val="both"/>
        <w:rPr>
          <w:rFonts w:ascii="Times New Roman" w:hAnsi="Times New Roman"/>
          <w:sz w:val="28"/>
          <w:szCs w:val="28"/>
        </w:rPr>
      </w:pPr>
      <w:r w:rsidRPr="00112050">
        <w:rPr>
          <w:rFonts w:ascii="Times New Roman" w:hAnsi="Times New Roman"/>
          <w:noProof/>
          <w:sz w:val="28"/>
          <w:szCs w:val="28"/>
        </w:rPr>
        <w:t xml:space="preserve">При содействии органов службы занятости населения </w:t>
      </w:r>
      <w:r w:rsidR="00791204">
        <w:rPr>
          <w:rFonts w:ascii="Times New Roman" w:hAnsi="Times New Roman"/>
          <w:noProof/>
          <w:sz w:val="28"/>
          <w:szCs w:val="28"/>
        </w:rPr>
        <w:t xml:space="preserve">нашли работу </w:t>
      </w:r>
      <w:r w:rsidRPr="00112050">
        <w:rPr>
          <w:rFonts w:ascii="Times New Roman" w:hAnsi="Times New Roman"/>
          <w:noProof/>
          <w:sz w:val="28"/>
          <w:szCs w:val="28"/>
        </w:rPr>
        <w:t xml:space="preserve">в 2017 году 29 027 человек, что на 1,3% меньше, чем в 2016 году </w:t>
      </w:r>
      <w:r w:rsidR="00537883">
        <w:rPr>
          <w:rFonts w:ascii="Times New Roman" w:hAnsi="Times New Roman"/>
          <w:noProof/>
          <w:sz w:val="28"/>
          <w:szCs w:val="28"/>
        </w:rPr>
        <w:br/>
      </w:r>
      <w:r w:rsidRPr="00112050">
        <w:rPr>
          <w:rFonts w:ascii="Times New Roman" w:hAnsi="Times New Roman"/>
          <w:noProof/>
          <w:sz w:val="28"/>
          <w:szCs w:val="28"/>
        </w:rPr>
        <w:t xml:space="preserve">(29 394 человека). Численность трудоустроенных безработных граждан снизилась по сравнению с прошлым годом на 6,8% и достигла 5 163 человек </w:t>
      </w:r>
      <w:r w:rsidR="00BD68C9">
        <w:rPr>
          <w:rFonts w:ascii="Times New Roman" w:hAnsi="Times New Roman"/>
          <w:noProof/>
          <w:sz w:val="28"/>
          <w:szCs w:val="28"/>
        </w:rPr>
        <w:br/>
      </w:r>
      <w:r w:rsidRPr="00112050">
        <w:rPr>
          <w:rFonts w:ascii="Times New Roman" w:hAnsi="Times New Roman"/>
          <w:noProof/>
          <w:sz w:val="28"/>
          <w:szCs w:val="28"/>
        </w:rPr>
        <w:t>(в 2016 году – 5 542 человека). Несмотря на снижение числа трудоустроенных</w:t>
      </w:r>
      <w:r w:rsidRPr="00112050">
        <w:rPr>
          <w:rFonts w:ascii="Times New Roman" w:hAnsi="Times New Roman"/>
          <w:sz w:val="28"/>
          <w:szCs w:val="28"/>
        </w:rPr>
        <w:t xml:space="preserve"> процент трудоустройства граждан, обратившихся в органы службы занятости населения за содействием в поиске подходящей работы, увеличился на 3,1 процентных пункта и составил 57,4% против 54,3% </w:t>
      </w:r>
      <w:r w:rsidR="00BD68C9">
        <w:rPr>
          <w:rFonts w:ascii="Times New Roman" w:hAnsi="Times New Roman"/>
          <w:sz w:val="28"/>
          <w:szCs w:val="28"/>
        </w:rPr>
        <w:br/>
      </w:r>
      <w:r w:rsidRPr="00112050">
        <w:rPr>
          <w:rFonts w:ascii="Times New Roman" w:hAnsi="Times New Roman"/>
          <w:sz w:val="28"/>
          <w:szCs w:val="28"/>
        </w:rPr>
        <w:t>в 2016 году, а процент трудоустройства безработных граждан увеличился до 39,9% (в 2016 году – 37,6%).</w:t>
      </w:r>
    </w:p>
    <w:p w:rsidR="00AC1F3B" w:rsidRPr="00112050" w:rsidRDefault="00AC1F3B" w:rsidP="00112050">
      <w:pPr>
        <w:ind w:firstLine="708"/>
        <w:jc w:val="both"/>
        <w:rPr>
          <w:rFonts w:ascii="Times New Roman" w:hAnsi="Times New Roman"/>
          <w:sz w:val="28"/>
          <w:szCs w:val="28"/>
        </w:rPr>
      </w:pPr>
      <w:r w:rsidRPr="003D38BE">
        <w:rPr>
          <w:rFonts w:ascii="Times New Roman" w:eastAsia="Times New Roman" w:hAnsi="Times New Roman"/>
          <w:color w:val="000000"/>
          <w:sz w:val="28"/>
          <w:szCs w:val="28"/>
          <w:lang w:eastAsia="ru-RU"/>
        </w:rPr>
        <w:t xml:space="preserve">Наиболее низкий уровень регистрируемой безработицы на </w:t>
      </w:r>
      <w:r w:rsidR="00BD68C9">
        <w:rPr>
          <w:rFonts w:ascii="Times New Roman" w:eastAsia="Times New Roman" w:hAnsi="Times New Roman"/>
          <w:color w:val="000000"/>
          <w:sz w:val="28"/>
          <w:szCs w:val="28"/>
          <w:lang w:eastAsia="ru-RU"/>
        </w:rPr>
        <w:t xml:space="preserve">1 января </w:t>
      </w:r>
      <w:r w:rsidRPr="003D38BE">
        <w:rPr>
          <w:rFonts w:ascii="Times New Roman" w:eastAsia="Times New Roman" w:hAnsi="Times New Roman"/>
          <w:color w:val="000000"/>
          <w:sz w:val="28"/>
          <w:szCs w:val="28"/>
          <w:lang w:eastAsia="ru-RU"/>
        </w:rPr>
        <w:t>2017</w:t>
      </w:r>
      <w:r w:rsidR="00BD68C9">
        <w:rPr>
          <w:rFonts w:ascii="Times New Roman" w:eastAsia="Times New Roman" w:hAnsi="Times New Roman"/>
          <w:color w:val="000000"/>
          <w:sz w:val="28"/>
          <w:szCs w:val="28"/>
          <w:lang w:eastAsia="ru-RU"/>
        </w:rPr>
        <w:t xml:space="preserve"> года</w:t>
      </w:r>
      <w:r w:rsidRPr="003D38BE">
        <w:rPr>
          <w:rFonts w:ascii="Times New Roman" w:eastAsia="Times New Roman" w:hAnsi="Times New Roman"/>
          <w:color w:val="000000"/>
          <w:sz w:val="28"/>
          <w:szCs w:val="28"/>
          <w:lang w:eastAsia="ru-RU"/>
        </w:rPr>
        <w:t xml:space="preserve"> отмеча</w:t>
      </w:r>
      <w:r w:rsidR="0078029B" w:rsidRPr="003D38BE">
        <w:rPr>
          <w:rFonts w:ascii="Times New Roman" w:eastAsia="Times New Roman" w:hAnsi="Times New Roman"/>
          <w:color w:val="000000"/>
          <w:sz w:val="28"/>
          <w:szCs w:val="28"/>
          <w:lang w:eastAsia="ru-RU"/>
        </w:rPr>
        <w:t>лся вНефтеюганском районе (0,05%), г. Нефтеюганске (0,1</w:t>
      </w:r>
      <w:r w:rsidRPr="003D38BE">
        <w:rPr>
          <w:rFonts w:ascii="Times New Roman" w:eastAsia="Times New Roman" w:hAnsi="Times New Roman"/>
          <w:color w:val="000000"/>
          <w:sz w:val="28"/>
          <w:szCs w:val="28"/>
          <w:lang w:eastAsia="ru-RU"/>
        </w:rPr>
        <w:t>%), г. Нижневартовске (0,14</w:t>
      </w:r>
      <w:r w:rsidR="0078029B" w:rsidRPr="003D38BE">
        <w:rPr>
          <w:rFonts w:ascii="Times New Roman" w:eastAsia="Times New Roman" w:hAnsi="Times New Roman"/>
          <w:color w:val="000000"/>
          <w:sz w:val="28"/>
          <w:szCs w:val="28"/>
          <w:lang w:eastAsia="ru-RU"/>
        </w:rPr>
        <w:t>%), Нижневартовском районе (0,14</w:t>
      </w:r>
      <w:r w:rsidRPr="003D38BE">
        <w:rPr>
          <w:rFonts w:ascii="Times New Roman" w:eastAsia="Times New Roman" w:hAnsi="Times New Roman"/>
          <w:color w:val="000000"/>
          <w:sz w:val="28"/>
          <w:szCs w:val="28"/>
          <w:lang w:eastAsia="ru-RU"/>
        </w:rPr>
        <w:t>%). Самые высокие показатели уровня регистрируемой безработицы в Советском и Березовском рай</w:t>
      </w:r>
      <w:r w:rsidR="0078029B" w:rsidRPr="003D38BE">
        <w:rPr>
          <w:rFonts w:ascii="Times New Roman" w:eastAsia="Times New Roman" w:hAnsi="Times New Roman"/>
          <w:color w:val="000000"/>
          <w:sz w:val="28"/>
          <w:szCs w:val="28"/>
          <w:lang w:eastAsia="ru-RU"/>
        </w:rPr>
        <w:t>онах, их значение составляет 3,21% и 2,84</w:t>
      </w:r>
      <w:r w:rsidRPr="003D38BE">
        <w:rPr>
          <w:rFonts w:ascii="Times New Roman" w:eastAsia="Times New Roman" w:hAnsi="Times New Roman"/>
          <w:color w:val="000000"/>
          <w:sz w:val="28"/>
          <w:szCs w:val="28"/>
          <w:lang w:eastAsia="ru-RU"/>
        </w:rPr>
        <w:t xml:space="preserve">% соответственно. </w:t>
      </w:r>
    </w:p>
    <w:p w:rsidR="00791204" w:rsidRPr="003D38BE" w:rsidRDefault="00AC1F3B" w:rsidP="00791204">
      <w:pPr>
        <w:ind w:firstLine="709"/>
        <w:jc w:val="both"/>
        <w:rPr>
          <w:rFonts w:ascii="Times New Roman" w:hAnsi="Times New Roman"/>
          <w:color w:val="000000"/>
          <w:sz w:val="28"/>
          <w:szCs w:val="28"/>
        </w:rPr>
      </w:pPr>
      <w:r w:rsidRPr="003D38BE">
        <w:rPr>
          <w:rFonts w:ascii="Times New Roman" w:eastAsia="Times New Roman" w:hAnsi="Times New Roman"/>
          <w:color w:val="000000"/>
          <w:sz w:val="28"/>
          <w:szCs w:val="28"/>
          <w:lang w:eastAsia="ru-RU"/>
        </w:rPr>
        <w:t>Значительных изменений в структуре регистрируемых безработных по сравнению с прошлым годом не произошло. По-прежнему среди безработных преобладают женщины, граждане, уволенные по собственному желанию; граждане, имеющи</w:t>
      </w:r>
      <w:r w:rsidR="002C2DE9" w:rsidRPr="003D38BE">
        <w:rPr>
          <w:rFonts w:ascii="Times New Roman" w:eastAsia="Times New Roman" w:hAnsi="Times New Roman"/>
          <w:color w:val="000000"/>
          <w:sz w:val="28"/>
          <w:szCs w:val="28"/>
          <w:lang w:eastAsia="ru-RU"/>
        </w:rPr>
        <w:t xml:space="preserve">е профессиональное образование, </w:t>
      </w:r>
      <w:r w:rsidR="000A1A6A" w:rsidRPr="003D38BE">
        <w:rPr>
          <w:rFonts w:ascii="Times New Roman" w:hAnsi="Times New Roman"/>
          <w:bCs/>
          <w:color w:val="000000"/>
          <w:sz w:val="28"/>
          <w:szCs w:val="28"/>
        </w:rPr>
        <w:t xml:space="preserve">как и прежде, преобладают граждане в возрасте 30-49 лет </w:t>
      </w:r>
      <w:r w:rsidR="00C11E17">
        <w:rPr>
          <w:rFonts w:ascii="Times New Roman" w:hAnsi="Times New Roman"/>
          <w:bCs/>
          <w:color w:val="000000"/>
          <w:sz w:val="28"/>
          <w:szCs w:val="28"/>
        </w:rPr>
        <w:t>–</w:t>
      </w:r>
      <w:r w:rsidR="000A1A6A" w:rsidRPr="003D38BE">
        <w:rPr>
          <w:rFonts w:ascii="Times New Roman" w:hAnsi="Times New Roman"/>
          <w:bCs/>
          <w:color w:val="000000"/>
          <w:sz w:val="28"/>
          <w:szCs w:val="28"/>
        </w:rPr>
        <w:t xml:space="preserve"> 63,9%.</w:t>
      </w:r>
      <w:r w:rsidR="006978C2" w:rsidRPr="003D38BE">
        <w:rPr>
          <w:rFonts w:ascii="Times New Roman" w:hAnsi="Times New Roman"/>
          <w:color w:val="000000"/>
          <w:sz w:val="28"/>
          <w:szCs w:val="28"/>
        </w:rPr>
        <w:t xml:space="preserve">Средняя продолжительность периода безработицы по округу снизилась и на начало 2018 года составила 4,3 месяца против 4,4 месяцев на начало 2017 года, однако еще выше, чем в 2015 году (4,2 месяца). </w:t>
      </w:r>
    </w:p>
    <w:p w:rsidR="00AC1F3B" w:rsidRPr="009F642B" w:rsidRDefault="00AC1F3B" w:rsidP="009F642B">
      <w:pPr>
        <w:ind w:firstLine="709"/>
        <w:jc w:val="both"/>
        <w:rPr>
          <w:rFonts w:ascii="Times New Roman" w:hAnsi="Times New Roman"/>
          <w:color w:val="000000" w:themeColor="text1"/>
          <w:sz w:val="28"/>
          <w:szCs w:val="28"/>
        </w:rPr>
      </w:pPr>
      <w:r w:rsidRPr="003D38BE">
        <w:rPr>
          <w:rFonts w:ascii="Times New Roman" w:eastAsia="Times New Roman" w:hAnsi="Times New Roman"/>
          <w:color w:val="000000"/>
          <w:sz w:val="28"/>
          <w:szCs w:val="28"/>
          <w:lang w:eastAsia="ru-RU"/>
        </w:rPr>
        <w:t xml:space="preserve">Подводя итоги, можно констатировать, что </w:t>
      </w:r>
      <w:r w:rsidR="002D16C0">
        <w:rPr>
          <w:rFonts w:ascii="Times New Roman" w:eastAsia="Times New Roman" w:hAnsi="Times New Roman"/>
          <w:color w:val="000000"/>
          <w:sz w:val="28"/>
          <w:szCs w:val="28"/>
          <w:lang w:eastAsia="ru-RU"/>
        </w:rPr>
        <w:t>ситуация</w:t>
      </w:r>
      <w:r w:rsidRPr="003D38BE">
        <w:rPr>
          <w:rFonts w:ascii="Times New Roman" w:eastAsia="Times New Roman" w:hAnsi="Times New Roman"/>
          <w:color w:val="000000"/>
          <w:sz w:val="28"/>
          <w:szCs w:val="28"/>
          <w:lang w:eastAsia="ru-RU"/>
        </w:rPr>
        <w:t xml:space="preserve"> на рынке труда Ханты-Мансийского автономного округа – Югрыв 201</w:t>
      </w:r>
      <w:r w:rsidRPr="003D38BE">
        <w:rPr>
          <w:rFonts w:ascii="Times New Roman" w:eastAsia="Times New Roman" w:hAnsi="Times New Roman"/>
          <w:color w:val="000000"/>
          <w:sz w:val="28"/>
          <w:szCs w:val="28"/>
          <w:lang w:eastAsia="ru-RU"/>
        </w:rPr>
        <w:t>6</w:t>
      </w:r>
      <w:r w:rsidRPr="003D38BE">
        <w:rPr>
          <w:rFonts w:ascii="Times New Roman" w:eastAsia="Times New Roman" w:hAnsi="Times New Roman"/>
          <w:color w:val="000000"/>
          <w:sz w:val="28"/>
          <w:szCs w:val="28"/>
          <w:lang w:eastAsia="ru-RU"/>
        </w:rPr>
        <w:t xml:space="preserve"> году оставалась </w:t>
      </w:r>
      <w:r w:rsidRPr="003D38BE">
        <w:rPr>
          <w:rFonts w:ascii="Times New Roman" w:eastAsia="Times New Roman" w:hAnsi="Times New Roman"/>
          <w:color w:val="000000"/>
          <w:sz w:val="28"/>
          <w:szCs w:val="28"/>
          <w:lang w:eastAsia="ru-RU"/>
        </w:rPr>
        <w:t xml:space="preserve">относительно </w:t>
      </w:r>
      <w:r w:rsidRPr="003D38BE">
        <w:rPr>
          <w:rFonts w:ascii="Times New Roman" w:eastAsia="Times New Roman" w:hAnsi="Times New Roman"/>
          <w:color w:val="000000"/>
          <w:sz w:val="28"/>
          <w:szCs w:val="28"/>
          <w:lang w:eastAsia="ru-RU"/>
        </w:rPr>
        <w:t>стабильной и контролируемой</w:t>
      </w:r>
      <w:r w:rsidRPr="003D38BE">
        <w:rPr>
          <w:rFonts w:ascii="Times New Roman" w:eastAsia="Times New Roman" w:hAnsi="Times New Roman"/>
          <w:color w:val="000000"/>
          <w:sz w:val="28"/>
          <w:szCs w:val="28"/>
          <w:lang w:eastAsia="ru-RU"/>
        </w:rPr>
        <w:t>,</w:t>
      </w:r>
      <w:r w:rsidRPr="003D38BE">
        <w:rPr>
          <w:rFonts w:ascii="Times New Roman" w:eastAsia="Times New Roman" w:hAnsi="Times New Roman"/>
          <w:color w:val="000000"/>
          <w:sz w:val="28"/>
          <w:szCs w:val="28"/>
          <w:lang w:eastAsia="ru-RU"/>
        </w:rPr>
        <w:t xml:space="preserve"> несмотря </w:t>
      </w:r>
      <w:r w:rsidRPr="003D38BE">
        <w:rPr>
          <w:rFonts w:ascii="Times New Roman" w:eastAsia="Times New Roman" w:hAnsi="Times New Roman"/>
          <w:color w:val="000000"/>
          <w:sz w:val="28"/>
          <w:szCs w:val="28"/>
          <w:lang w:eastAsia="ru-RU"/>
        </w:rPr>
        <w:t xml:space="preserve">на рост некоторых </w:t>
      </w:r>
      <w:r w:rsidRPr="009F642B">
        <w:rPr>
          <w:rFonts w:ascii="Times New Roman" w:eastAsia="Times New Roman" w:hAnsi="Times New Roman"/>
          <w:color w:val="000000" w:themeColor="text1"/>
          <w:sz w:val="28"/>
          <w:szCs w:val="28"/>
          <w:lang w:eastAsia="ru-RU"/>
        </w:rPr>
        <w:t>показателей.</w:t>
      </w:r>
    </w:p>
    <w:p w:rsidR="00DD2CE7" w:rsidRPr="00074CD3" w:rsidRDefault="00AC1F3B" w:rsidP="00074CD3">
      <w:pPr>
        <w:spacing w:after="0"/>
        <w:ind w:firstLine="709"/>
        <w:jc w:val="both"/>
        <w:rPr>
          <w:rFonts w:ascii="Times New Roman" w:eastAsia="Times New Roman" w:hAnsi="Times New Roman"/>
          <w:color w:val="000000" w:themeColor="text1"/>
          <w:sz w:val="28"/>
          <w:szCs w:val="28"/>
          <w:lang w:eastAsia="ru-RU"/>
        </w:rPr>
      </w:pPr>
      <w:r w:rsidRPr="009F642B">
        <w:rPr>
          <w:rFonts w:ascii="Times New Roman" w:hAnsi="Times New Roman"/>
          <w:b/>
          <w:i/>
          <w:color w:val="000000" w:themeColor="text1"/>
          <w:sz w:val="28"/>
          <w:szCs w:val="28"/>
          <w:lang w:eastAsia="ru-RU"/>
        </w:rPr>
        <w:t>Миграционная ситуация</w:t>
      </w:r>
      <w:r w:rsidRPr="009F642B">
        <w:rPr>
          <w:rFonts w:ascii="Times New Roman" w:eastAsia="Times New Roman" w:hAnsi="Times New Roman"/>
          <w:b/>
          <w:i/>
          <w:color w:val="000000" w:themeColor="text1"/>
          <w:sz w:val="28"/>
          <w:szCs w:val="28"/>
          <w:lang w:eastAsia="ru-RU"/>
        </w:rPr>
        <w:t>.</w:t>
      </w:r>
      <w:r w:rsidRPr="009F642B">
        <w:rPr>
          <w:rFonts w:ascii="Times New Roman" w:hAnsi="Times New Roman"/>
          <w:color w:val="000000" w:themeColor="text1"/>
          <w:sz w:val="28"/>
          <w:szCs w:val="28"/>
        </w:rPr>
        <w:t xml:space="preserve">По информации Управления Федеральной службы государственной статистики по Тюменской области, </w:t>
      </w:r>
      <w:r w:rsidR="00C11E17">
        <w:rPr>
          <w:rFonts w:ascii="Times New Roman" w:hAnsi="Times New Roman"/>
          <w:color w:val="000000" w:themeColor="text1"/>
          <w:sz w:val="28"/>
          <w:szCs w:val="28"/>
        </w:rPr>
        <w:br/>
      </w:r>
      <w:r w:rsidRPr="009F642B">
        <w:rPr>
          <w:rFonts w:ascii="Times New Roman" w:hAnsi="Times New Roman"/>
          <w:color w:val="000000" w:themeColor="text1"/>
          <w:sz w:val="28"/>
          <w:szCs w:val="28"/>
        </w:rPr>
        <w:t>Ханты-Мансийскому автономному округу</w:t>
      </w:r>
      <w:r w:rsidR="00C11E17">
        <w:rPr>
          <w:rFonts w:ascii="Times New Roman" w:hAnsi="Times New Roman"/>
          <w:color w:val="000000" w:themeColor="text1"/>
          <w:sz w:val="28"/>
          <w:szCs w:val="28"/>
        </w:rPr>
        <w:t xml:space="preserve"> – </w:t>
      </w:r>
      <w:r w:rsidRPr="009F642B">
        <w:rPr>
          <w:rFonts w:ascii="Times New Roman" w:hAnsi="Times New Roman"/>
          <w:color w:val="000000" w:themeColor="text1"/>
          <w:sz w:val="28"/>
          <w:szCs w:val="28"/>
        </w:rPr>
        <w:t xml:space="preserve">Югреи Ямало-Ненецкому автономному </w:t>
      </w:r>
      <w:r w:rsidRPr="00074CD3">
        <w:rPr>
          <w:rFonts w:ascii="Times New Roman" w:hAnsi="Times New Roman"/>
          <w:color w:val="000000" w:themeColor="text1"/>
          <w:sz w:val="28"/>
          <w:szCs w:val="28"/>
        </w:rPr>
        <w:t>округу</w:t>
      </w:r>
      <w:r w:rsidRPr="00074CD3">
        <w:rPr>
          <w:rStyle w:val="a9"/>
          <w:rFonts w:ascii="Times New Roman" w:hAnsi="Times New Roman"/>
          <w:color w:val="000000" w:themeColor="text1"/>
          <w:sz w:val="28"/>
          <w:szCs w:val="28"/>
        </w:rPr>
        <w:footnoteReference w:id="5"/>
      </w:r>
      <w:r w:rsidRPr="00074CD3">
        <w:rPr>
          <w:rFonts w:ascii="Times New Roman" w:hAnsi="Times New Roman"/>
          <w:color w:val="000000" w:themeColor="text1"/>
          <w:sz w:val="28"/>
          <w:szCs w:val="28"/>
        </w:rPr>
        <w:t xml:space="preserve"> за январь-ноябрь 2017 года количество выбывших из автономного округа превысило количество прибывших. В автономном округе наблюдается миграционная убыль – «-3707» человек (январь-ноябрь 2016 года миграционный прирост – 3599 человек). Отрицательное значение миграции сформировалось посредством миграционной убыли в пределах России (внутрирегиональная и межрегиональная миграция) в количестве «-8596» человек и миграционного прироста за счет международной миграции в объеме 4889 человек (январь-</w:t>
      </w:r>
      <w:r w:rsidR="00DD2CE7" w:rsidRPr="00074CD3">
        <w:rPr>
          <w:rFonts w:ascii="Times New Roman" w:hAnsi="Times New Roman"/>
          <w:color w:val="000000" w:themeColor="text1"/>
          <w:sz w:val="28"/>
          <w:szCs w:val="28"/>
        </w:rPr>
        <w:t>ноябрь 2016 года – «-4894» и 8453 человека соответственно).</w:t>
      </w:r>
    </w:p>
    <w:p w:rsidR="00DD2CE7" w:rsidRPr="00074CD3" w:rsidRDefault="00DD2CE7" w:rsidP="00074CD3">
      <w:pPr>
        <w:ind w:firstLine="709"/>
        <w:jc w:val="both"/>
        <w:rPr>
          <w:rFonts w:ascii="Times New Roman" w:hAnsi="Times New Roman"/>
          <w:color w:val="000000" w:themeColor="text1"/>
          <w:sz w:val="28"/>
          <w:szCs w:val="28"/>
        </w:rPr>
      </w:pPr>
      <w:r w:rsidRPr="00074CD3">
        <w:rPr>
          <w:rFonts w:ascii="Times New Roman" w:hAnsi="Times New Roman"/>
          <w:color w:val="000000" w:themeColor="text1"/>
          <w:sz w:val="28"/>
          <w:szCs w:val="28"/>
        </w:rPr>
        <w:t xml:space="preserve">Коэффициент миграционной убыли за январь-ноябрь 2017 года составил «-24,5» в расчете на 10 тыс. населения (январь-ноябрь </w:t>
      </w:r>
      <w:r w:rsidR="00587570">
        <w:rPr>
          <w:rFonts w:ascii="Times New Roman" w:hAnsi="Times New Roman"/>
          <w:color w:val="000000" w:themeColor="text1"/>
          <w:sz w:val="28"/>
          <w:szCs w:val="28"/>
        </w:rPr>
        <w:br/>
      </w:r>
      <w:r w:rsidRPr="00074CD3">
        <w:rPr>
          <w:rFonts w:ascii="Times New Roman" w:hAnsi="Times New Roman"/>
          <w:color w:val="000000" w:themeColor="text1"/>
          <w:sz w:val="28"/>
          <w:szCs w:val="28"/>
        </w:rPr>
        <w:t xml:space="preserve">2016 года – 23,8 в расчете на 10 тыс. населения). </w:t>
      </w:r>
    </w:p>
    <w:p w:rsidR="00DD2CE7" w:rsidRPr="00074CD3" w:rsidRDefault="00DD2CE7" w:rsidP="00074CD3">
      <w:pPr>
        <w:ind w:firstLine="709"/>
        <w:jc w:val="both"/>
        <w:rPr>
          <w:rFonts w:ascii="Times New Roman" w:hAnsi="Times New Roman"/>
          <w:color w:val="000000" w:themeColor="text1"/>
          <w:sz w:val="28"/>
          <w:szCs w:val="28"/>
        </w:rPr>
      </w:pPr>
      <w:r w:rsidRPr="00074CD3">
        <w:rPr>
          <w:rFonts w:ascii="Times New Roman" w:hAnsi="Times New Roman"/>
          <w:color w:val="000000" w:themeColor="text1"/>
          <w:sz w:val="28"/>
          <w:szCs w:val="28"/>
        </w:rPr>
        <w:t xml:space="preserve">При этом, в Югре зафиксирован высокий уровень миграционной активности населения. Число прибывших в автономный округ за </w:t>
      </w:r>
      <w:r w:rsidR="00C11E17">
        <w:rPr>
          <w:rFonts w:ascii="Times New Roman" w:hAnsi="Times New Roman"/>
          <w:color w:val="000000" w:themeColor="text1"/>
          <w:sz w:val="28"/>
          <w:szCs w:val="28"/>
        </w:rPr>
        <w:br/>
      </w:r>
      <w:r w:rsidRPr="00074CD3">
        <w:rPr>
          <w:rFonts w:ascii="Times New Roman" w:hAnsi="Times New Roman"/>
          <w:color w:val="000000" w:themeColor="text1"/>
          <w:sz w:val="28"/>
          <w:szCs w:val="28"/>
        </w:rPr>
        <w:t>январь-ноябрь 2017 года составило 70,3 тыс. человек, число выбывших – 73,9 тыс. человек.</w:t>
      </w:r>
    </w:p>
    <w:p w:rsidR="00074CD3" w:rsidRPr="00074CD3" w:rsidRDefault="00074CD3" w:rsidP="00074CD3">
      <w:pPr>
        <w:widowControl w:val="0"/>
        <w:ind w:firstLine="709"/>
        <w:jc w:val="both"/>
        <w:rPr>
          <w:rFonts w:ascii="Times New Roman" w:hAnsi="Times New Roman"/>
          <w:sz w:val="28"/>
          <w:szCs w:val="28"/>
        </w:rPr>
      </w:pPr>
      <w:r w:rsidRPr="00074CD3">
        <w:rPr>
          <w:rFonts w:ascii="Times New Roman" w:hAnsi="Times New Roman"/>
          <w:sz w:val="28"/>
          <w:szCs w:val="28"/>
        </w:rPr>
        <w:t>Югра продолжает принимать участников Государственной программы по оказанию содействия добровольному переселению в РФ соотечественников, проживающих за рубежом. Количество участников Государственной программы в 2017 году составило 1200 человек, с соотечественниками переселились 950 человек из числа членов их семей.</w:t>
      </w:r>
    </w:p>
    <w:p w:rsidR="00074CD3" w:rsidRPr="00074CD3" w:rsidRDefault="00074CD3" w:rsidP="00074CD3">
      <w:pPr>
        <w:ind w:firstLine="709"/>
        <w:jc w:val="both"/>
        <w:rPr>
          <w:rFonts w:ascii="Times New Roman" w:hAnsi="Times New Roman"/>
          <w:sz w:val="28"/>
          <w:szCs w:val="28"/>
        </w:rPr>
      </w:pPr>
      <w:r w:rsidRPr="00074CD3">
        <w:rPr>
          <w:rFonts w:ascii="Times New Roman" w:hAnsi="Times New Roman"/>
          <w:sz w:val="28"/>
          <w:szCs w:val="28"/>
        </w:rPr>
        <w:t>При этом трудовые ресурсы автономного округа пополняются соотечественниками из числа квалифицированных специалистов, из которых 34,0% имеют высшее образование, 66,0% – среднее профессиональное. Участники Государственной программы, переселившиеся в автономный округ, трудоустроены на постоянные рабочие места в сферах образования, здравоохранения, обслуживания, производственно-экономической сфере либо открыли собственное дело.</w:t>
      </w:r>
    </w:p>
    <w:p w:rsidR="00DD2CE7" w:rsidRPr="009F642B" w:rsidRDefault="00DD2CE7" w:rsidP="00074CD3">
      <w:pPr>
        <w:ind w:firstLine="709"/>
        <w:jc w:val="both"/>
        <w:rPr>
          <w:rFonts w:ascii="Times New Roman" w:hAnsi="Times New Roman"/>
          <w:color w:val="000000" w:themeColor="text1"/>
          <w:sz w:val="28"/>
          <w:szCs w:val="28"/>
        </w:rPr>
      </w:pPr>
      <w:r w:rsidRPr="00074CD3">
        <w:rPr>
          <w:rFonts w:ascii="Times New Roman" w:hAnsi="Times New Roman"/>
          <w:color w:val="000000" w:themeColor="text1"/>
          <w:sz w:val="28"/>
          <w:szCs w:val="28"/>
        </w:rPr>
        <w:t>Движущие мотивы</w:t>
      </w:r>
      <w:r w:rsidRPr="00074CD3">
        <w:rPr>
          <w:rFonts w:ascii="Times New Roman" w:eastAsia="MingLiU_HKSCS" w:hAnsi="Times New Roman"/>
          <w:color w:val="000000" w:themeColor="text1"/>
          <w:sz w:val="28"/>
          <w:szCs w:val="28"/>
        </w:rPr>
        <w:t xml:space="preserve"> внутренних мигрантов, </w:t>
      </w:r>
      <w:r w:rsidRPr="00074CD3">
        <w:rPr>
          <w:rFonts w:ascii="Times New Roman" w:hAnsi="Times New Roman"/>
          <w:color w:val="000000" w:themeColor="text1"/>
          <w:sz w:val="28"/>
          <w:szCs w:val="28"/>
        </w:rPr>
        <w:t>прежде всего, экономические,связанные с поиском более высокого уровня жизни. Граждане, приезжающие из других субъектов Российской Федерации имеют цель – трудоустройство</w:t>
      </w:r>
      <w:r w:rsidRPr="009F642B">
        <w:rPr>
          <w:rFonts w:ascii="Times New Roman" w:hAnsi="Times New Roman"/>
          <w:color w:val="000000" w:themeColor="text1"/>
          <w:sz w:val="28"/>
          <w:szCs w:val="28"/>
        </w:rPr>
        <w:t xml:space="preserve"> на сравнительно короткий промежуток времени и желание вернуться на прежнее место жительство. Устойчивое </w:t>
      </w:r>
      <w:r w:rsidR="00C11E17">
        <w:rPr>
          <w:rFonts w:ascii="Times New Roman" w:hAnsi="Times New Roman"/>
          <w:color w:val="000000" w:themeColor="text1"/>
          <w:sz w:val="28"/>
          <w:szCs w:val="28"/>
        </w:rPr>
        <w:br/>
      </w:r>
      <w:r w:rsidRPr="009F642B">
        <w:rPr>
          <w:rFonts w:ascii="Times New Roman" w:hAnsi="Times New Roman"/>
          <w:color w:val="000000" w:themeColor="text1"/>
          <w:sz w:val="28"/>
          <w:szCs w:val="28"/>
        </w:rPr>
        <w:t>социально-экономическое положение Ханты-Мансийского автономного округа – Югры привлекательно для мигрантов из других регионов.</w:t>
      </w:r>
    </w:p>
    <w:p w:rsidR="00442545" w:rsidRPr="009F642B" w:rsidRDefault="00442545" w:rsidP="009F642B">
      <w:pPr>
        <w:rPr>
          <w:rFonts w:ascii="Times New Roman" w:hAnsi="Times New Roman"/>
          <w:color w:val="000000" w:themeColor="text1"/>
        </w:rPr>
      </w:pPr>
    </w:p>
    <w:sectPr w:rsidR="00442545" w:rsidRPr="009F642B" w:rsidSect="001A644C">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AE7" w:rsidRDefault="000A0AE7" w:rsidP="00031FF8">
      <w:pPr>
        <w:spacing w:after="0" w:line="240" w:lineRule="auto"/>
      </w:pPr>
      <w:r>
        <w:separator/>
      </w:r>
    </w:p>
  </w:endnote>
  <w:endnote w:type="continuationSeparator" w:id="1">
    <w:p w:rsidR="000A0AE7" w:rsidRDefault="000A0AE7" w:rsidP="00031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ingLiU_HKSCS">
    <w:charset w:val="88"/>
    <w:family w:val="roman"/>
    <w:pitch w:val="variable"/>
    <w:sig w:usb0="A00002FF" w:usb1="3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4C" w:rsidRDefault="001807B0" w:rsidP="00816C5D">
    <w:pPr>
      <w:pStyle w:val="aa"/>
      <w:framePr w:wrap="none" w:vAnchor="text" w:hAnchor="margin" w:xAlign="center" w:y="1"/>
      <w:rPr>
        <w:rStyle w:val="ac"/>
      </w:rPr>
    </w:pPr>
    <w:r>
      <w:rPr>
        <w:rStyle w:val="ac"/>
      </w:rPr>
      <w:fldChar w:fldCharType="begin"/>
    </w:r>
    <w:r w:rsidR="001A644C">
      <w:rPr>
        <w:rStyle w:val="ac"/>
      </w:rPr>
      <w:instrText xml:space="preserve">PAGE  </w:instrText>
    </w:r>
    <w:r>
      <w:rPr>
        <w:rStyle w:val="ac"/>
      </w:rPr>
      <w:fldChar w:fldCharType="end"/>
    </w:r>
  </w:p>
  <w:p w:rsidR="001A644C" w:rsidRDefault="001A644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44C" w:rsidRDefault="001807B0" w:rsidP="00816C5D">
    <w:pPr>
      <w:pStyle w:val="aa"/>
      <w:framePr w:wrap="none" w:vAnchor="text" w:hAnchor="margin" w:xAlign="center" w:y="1"/>
      <w:rPr>
        <w:rStyle w:val="ac"/>
      </w:rPr>
    </w:pPr>
    <w:r>
      <w:rPr>
        <w:rStyle w:val="ac"/>
      </w:rPr>
      <w:fldChar w:fldCharType="begin"/>
    </w:r>
    <w:r w:rsidR="001A644C">
      <w:rPr>
        <w:rStyle w:val="ac"/>
      </w:rPr>
      <w:instrText xml:space="preserve">PAGE  </w:instrText>
    </w:r>
    <w:r>
      <w:rPr>
        <w:rStyle w:val="ac"/>
      </w:rPr>
      <w:fldChar w:fldCharType="separate"/>
    </w:r>
    <w:r w:rsidR="00F70C7D">
      <w:rPr>
        <w:rStyle w:val="ac"/>
        <w:noProof/>
      </w:rPr>
      <w:t>6</w:t>
    </w:r>
    <w:r>
      <w:rPr>
        <w:rStyle w:val="ac"/>
      </w:rPr>
      <w:fldChar w:fldCharType="end"/>
    </w:r>
  </w:p>
  <w:p w:rsidR="001A644C" w:rsidRDefault="001A644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AE7" w:rsidRDefault="000A0AE7" w:rsidP="00031FF8">
      <w:pPr>
        <w:spacing w:after="0" w:line="240" w:lineRule="auto"/>
      </w:pPr>
      <w:r>
        <w:separator/>
      </w:r>
    </w:p>
  </w:footnote>
  <w:footnote w:type="continuationSeparator" w:id="1">
    <w:p w:rsidR="000A0AE7" w:rsidRDefault="000A0AE7" w:rsidP="00031FF8">
      <w:pPr>
        <w:spacing w:after="0" w:line="240" w:lineRule="auto"/>
      </w:pPr>
      <w:r>
        <w:continuationSeparator/>
      </w:r>
    </w:p>
  </w:footnote>
  <w:footnote w:id="2">
    <w:p w:rsidR="00DA6674" w:rsidRPr="000B2A89" w:rsidRDefault="00DA6674" w:rsidP="00DA6674">
      <w:pPr>
        <w:shd w:val="clear" w:color="auto" w:fill="FEFEFE"/>
        <w:spacing w:after="0" w:line="240" w:lineRule="auto"/>
        <w:rPr>
          <w:rFonts w:ascii="Times New Roman" w:hAnsi="Times New Roman"/>
          <w:color w:val="020C22"/>
          <w:sz w:val="20"/>
          <w:szCs w:val="20"/>
        </w:rPr>
      </w:pPr>
      <w:r w:rsidRPr="00010638">
        <w:rPr>
          <w:rStyle w:val="a9"/>
        </w:rPr>
        <w:footnoteRef/>
      </w:r>
      <w:r w:rsidRPr="00010638">
        <w:rPr>
          <w:rFonts w:ascii="Times New Roman" w:hAnsi="Times New Roman"/>
          <w:color w:val="020C22"/>
          <w:sz w:val="20"/>
          <w:szCs w:val="20"/>
        </w:rPr>
        <w:t xml:space="preserve">«Об утверждении Стратегии государственной антинаркотической политики Российской Федерации до 2020 года» </w:t>
      </w:r>
      <w:r w:rsidRPr="00010638">
        <w:rPr>
          <w:rFonts w:ascii="Times New Roman" w:hAnsi="Times New Roman"/>
          <w:color w:val="020C22"/>
          <w:kern w:val="36"/>
          <w:sz w:val="20"/>
          <w:szCs w:val="20"/>
        </w:rPr>
        <w:t>Указ Президента Российской Федерации от 09.06.2010 г. № 690</w:t>
      </w:r>
      <w:r w:rsidRPr="00010638">
        <w:rPr>
          <w:rFonts w:ascii="Times New Roman" w:hAnsi="Times New Roman"/>
          <w:color w:val="020C22"/>
          <w:sz w:val="20"/>
          <w:szCs w:val="20"/>
          <w:shd w:val="clear" w:color="auto" w:fill="FEFEFE"/>
        </w:rPr>
        <w:t xml:space="preserve"> (в редакции Указа Президента Российской Федерации от 01.07.2014 г. N 483)</w:t>
      </w:r>
    </w:p>
    <w:p w:rsidR="00DA6674" w:rsidRDefault="00DA6674" w:rsidP="00DA6674">
      <w:pPr>
        <w:pStyle w:val="a5"/>
      </w:pPr>
    </w:p>
  </w:footnote>
  <w:footnote w:id="3">
    <w:p w:rsidR="00F16CD6" w:rsidRPr="00B242CA" w:rsidRDefault="00F16CD6" w:rsidP="00F16CD6">
      <w:pPr>
        <w:pStyle w:val="a5"/>
        <w:jc w:val="both"/>
        <w:rPr>
          <w:lang w:val="ru-RU"/>
        </w:rPr>
      </w:pPr>
      <w:r>
        <w:rPr>
          <w:rStyle w:val="a9"/>
        </w:rPr>
        <w:footnoteRef/>
      </w:r>
      <w:r>
        <w:rPr>
          <w:lang w:val="ru-RU"/>
        </w:rPr>
        <w:t>Сборник «Регионы России. Социально-экономические показатели. 2017»</w:t>
      </w:r>
    </w:p>
  </w:footnote>
  <w:footnote w:id="4">
    <w:p w:rsidR="00031FF8" w:rsidRDefault="00031FF8" w:rsidP="00031FF8">
      <w:pPr>
        <w:pStyle w:val="a5"/>
        <w:jc w:val="both"/>
        <w:rPr>
          <w:lang w:val="ru-RU"/>
        </w:rPr>
      </w:pPr>
      <w:r w:rsidRPr="00E9174A">
        <w:rPr>
          <w:rStyle w:val="a9"/>
        </w:rPr>
        <w:footnoteRef/>
      </w:r>
      <w:hyperlink r:id="rId1" w:history="1">
        <w:r w:rsidRPr="00E9174A">
          <w:rPr>
            <w:u w:val="single"/>
            <w:lang w:val="ru-RU" w:eastAsia="ru-RU"/>
          </w:rPr>
          <w:t>http://economy.gov.ru/minec/about/structure/depmacro/2017271001</w:t>
        </w:r>
      </w:hyperlink>
      <w:r w:rsidRPr="00E9174A">
        <w:rPr>
          <w:lang w:val="ru-RU" w:eastAsia="ru-RU"/>
        </w:rPr>
        <w:t>, прогноз СЭР РФ на 2018 год и на</w:t>
      </w:r>
      <w:r w:rsidRPr="006C45C4">
        <w:rPr>
          <w:lang w:val="ru-RU" w:eastAsia="ru-RU"/>
        </w:rPr>
        <w:t xml:space="preserve"> плановый период 2019 и 2020 годов, таблица «Основные показатели прогноза на 2018 год и плановый период 2019 и 2020 годов»,</w:t>
      </w:r>
    </w:p>
    <w:p w:rsidR="00031FF8" w:rsidRPr="00EA071C" w:rsidRDefault="00031FF8" w:rsidP="00031FF8">
      <w:pPr>
        <w:pStyle w:val="a5"/>
        <w:rPr>
          <w:lang w:val="ru-RU"/>
        </w:rPr>
      </w:pPr>
      <w:r>
        <w:rPr>
          <w:vertAlign w:val="superscript"/>
          <w:lang w:val="ru-RU"/>
        </w:rPr>
        <w:t xml:space="preserve">2 </w:t>
      </w:r>
      <w:r>
        <w:rPr>
          <w:lang w:val="ru-RU"/>
        </w:rPr>
        <w:t>оценка Депэкономики Югры;</w:t>
      </w:r>
    </w:p>
  </w:footnote>
  <w:footnote w:id="5">
    <w:p w:rsidR="00AC1F3B" w:rsidRDefault="00AC1F3B" w:rsidP="00AC1F3B">
      <w:pPr>
        <w:pStyle w:val="a5"/>
        <w:jc w:val="both"/>
      </w:pPr>
      <w:r>
        <w:rPr>
          <w:rStyle w:val="a9"/>
        </w:rPr>
        <w:footnoteRef/>
      </w:r>
      <w:r>
        <w:t xml:space="preserve">Краткий статистический доклад «Социально-экономическое положение Ханты-Мансийского автономного округа – Югры </w:t>
      </w:r>
      <w:r>
        <w:rPr>
          <w:lang w:val="ru-RU"/>
        </w:rPr>
        <w:t>в январе декабре 2017 года» 12</w:t>
      </w:r>
      <w:r w:rsidRPr="0005400A">
        <w:rPr>
          <w:lang w:val="ru-RU"/>
        </w:rPr>
        <w:t>`</w:t>
      </w:r>
      <w:r>
        <w:t>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D9AD6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ED816FE"/>
    <w:multiLevelType w:val="hybridMultilevel"/>
    <w:tmpl w:val="A26A275C"/>
    <w:lvl w:ilvl="0" w:tplc="78EC8748">
      <w:start w:val="1"/>
      <w:numFmt w:val="decimal"/>
      <w:lvlText w:val="%1."/>
      <w:lvlJc w:val="left"/>
      <w:pPr>
        <w:tabs>
          <w:tab w:val="num" w:pos="432"/>
        </w:tabs>
        <w:ind w:left="432" w:hanging="360"/>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AF1412"/>
    <w:rsid w:val="000269C4"/>
    <w:rsid w:val="00031FF8"/>
    <w:rsid w:val="00033949"/>
    <w:rsid w:val="00074CD3"/>
    <w:rsid w:val="000A0AE7"/>
    <w:rsid w:val="000A1A6A"/>
    <w:rsid w:val="000B15C5"/>
    <w:rsid w:val="000B26D8"/>
    <w:rsid w:val="000E6E5E"/>
    <w:rsid w:val="00112050"/>
    <w:rsid w:val="00152496"/>
    <w:rsid w:val="00162B42"/>
    <w:rsid w:val="001807B0"/>
    <w:rsid w:val="001A644C"/>
    <w:rsid w:val="001B3888"/>
    <w:rsid w:val="002214F6"/>
    <w:rsid w:val="00227CBA"/>
    <w:rsid w:val="0028624B"/>
    <w:rsid w:val="002C2DE9"/>
    <w:rsid w:val="002D16C0"/>
    <w:rsid w:val="00325AF5"/>
    <w:rsid w:val="00331E4B"/>
    <w:rsid w:val="003333EF"/>
    <w:rsid w:val="003423BC"/>
    <w:rsid w:val="003702C6"/>
    <w:rsid w:val="003865C0"/>
    <w:rsid w:val="003A5D9F"/>
    <w:rsid w:val="003C18B9"/>
    <w:rsid w:val="003D38BE"/>
    <w:rsid w:val="003F5723"/>
    <w:rsid w:val="00442545"/>
    <w:rsid w:val="0049645D"/>
    <w:rsid w:val="004E3122"/>
    <w:rsid w:val="004F77AC"/>
    <w:rsid w:val="00501885"/>
    <w:rsid w:val="00526F55"/>
    <w:rsid w:val="00531E4D"/>
    <w:rsid w:val="00537883"/>
    <w:rsid w:val="00542A5C"/>
    <w:rsid w:val="005771D6"/>
    <w:rsid w:val="00587570"/>
    <w:rsid w:val="005B2A9F"/>
    <w:rsid w:val="005C4510"/>
    <w:rsid w:val="005C60D3"/>
    <w:rsid w:val="0062282E"/>
    <w:rsid w:val="0063694A"/>
    <w:rsid w:val="00642D6E"/>
    <w:rsid w:val="0065700F"/>
    <w:rsid w:val="006978C2"/>
    <w:rsid w:val="00722E0B"/>
    <w:rsid w:val="00752DFD"/>
    <w:rsid w:val="00757EF7"/>
    <w:rsid w:val="0078029B"/>
    <w:rsid w:val="00791204"/>
    <w:rsid w:val="007D3411"/>
    <w:rsid w:val="007E6F1D"/>
    <w:rsid w:val="00860868"/>
    <w:rsid w:val="00866E03"/>
    <w:rsid w:val="008A12CA"/>
    <w:rsid w:val="008B7594"/>
    <w:rsid w:val="008C394C"/>
    <w:rsid w:val="008C3CBE"/>
    <w:rsid w:val="008F7E15"/>
    <w:rsid w:val="00947875"/>
    <w:rsid w:val="00962AC4"/>
    <w:rsid w:val="00984A0E"/>
    <w:rsid w:val="009B64A5"/>
    <w:rsid w:val="009C62CD"/>
    <w:rsid w:val="009F642B"/>
    <w:rsid w:val="00A1116A"/>
    <w:rsid w:val="00A111BF"/>
    <w:rsid w:val="00A321E2"/>
    <w:rsid w:val="00AC1F3B"/>
    <w:rsid w:val="00AF1412"/>
    <w:rsid w:val="00B41743"/>
    <w:rsid w:val="00B4269F"/>
    <w:rsid w:val="00B80A95"/>
    <w:rsid w:val="00BD27C8"/>
    <w:rsid w:val="00BD68C9"/>
    <w:rsid w:val="00C11E17"/>
    <w:rsid w:val="00C43217"/>
    <w:rsid w:val="00C9367E"/>
    <w:rsid w:val="00D41A0D"/>
    <w:rsid w:val="00D75838"/>
    <w:rsid w:val="00DA6006"/>
    <w:rsid w:val="00DA6674"/>
    <w:rsid w:val="00DD2CE7"/>
    <w:rsid w:val="00DD48BB"/>
    <w:rsid w:val="00DE182B"/>
    <w:rsid w:val="00E32AB6"/>
    <w:rsid w:val="00E4148D"/>
    <w:rsid w:val="00E84FD1"/>
    <w:rsid w:val="00EB2C79"/>
    <w:rsid w:val="00ED12BF"/>
    <w:rsid w:val="00F16CD6"/>
    <w:rsid w:val="00F21C54"/>
    <w:rsid w:val="00F31546"/>
    <w:rsid w:val="00F70C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412"/>
    <w:pPr>
      <w:spacing w:after="200" w:line="276" w:lineRule="auto"/>
    </w:pPr>
    <w:rPr>
      <w:sz w:val="22"/>
      <w:szCs w:val="22"/>
      <w:lang w:eastAsia="en-US"/>
    </w:rPr>
  </w:style>
  <w:style w:type="paragraph" w:styleId="1">
    <w:name w:val="heading 1"/>
    <w:basedOn w:val="a"/>
    <w:next w:val="a"/>
    <w:link w:val="10"/>
    <w:uiPriority w:val="9"/>
    <w:qFormat/>
    <w:rsid w:val="00DA6674"/>
    <w:pPr>
      <w:spacing w:before="480" w:after="0"/>
      <w:contextualSpacing/>
      <w:outlineLvl w:val="0"/>
    </w:pPr>
    <w:rPr>
      <w:rFonts w:ascii="Cambria" w:eastAsia="Times New Roman" w:hAnsi="Cambr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412"/>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AF1412"/>
    <w:rPr>
      <w:rFonts w:ascii="Tahoma" w:eastAsia="Calibri" w:hAnsi="Tahoma" w:cs="Tahoma"/>
      <w:sz w:val="16"/>
      <w:szCs w:val="16"/>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fn,Texto de nota al p,footnote tex"/>
    <w:basedOn w:val="a"/>
    <w:link w:val="a6"/>
    <w:rsid w:val="00031FF8"/>
    <w:pPr>
      <w:spacing w:after="0" w:line="240" w:lineRule="auto"/>
    </w:pPr>
    <w:rPr>
      <w:rFonts w:ascii="Times New Roman" w:eastAsia="Times New Roman" w:hAnsi="Times New Roman"/>
      <w:sz w:val="20"/>
      <w:szCs w:val="20"/>
      <w:lang/>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5"/>
    <w:rsid w:val="00031FF8"/>
    <w:rPr>
      <w:rFonts w:ascii="Times New Roman" w:eastAsia="Times New Roman" w:hAnsi="Times New Roman"/>
      <w:lang/>
    </w:rPr>
  </w:style>
  <w:style w:type="paragraph" w:styleId="a7">
    <w:name w:val="Title"/>
    <w:basedOn w:val="a"/>
    <w:next w:val="a"/>
    <w:link w:val="a8"/>
    <w:uiPriority w:val="10"/>
    <w:qFormat/>
    <w:rsid w:val="00031FF8"/>
    <w:pPr>
      <w:widowControl w:val="0"/>
      <w:autoSpaceDE w:val="0"/>
      <w:autoSpaceDN w:val="0"/>
      <w:adjustRightInd w:val="0"/>
      <w:spacing w:before="240" w:after="60" w:line="240" w:lineRule="auto"/>
      <w:jc w:val="center"/>
      <w:outlineLvl w:val="0"/>
    </w:pPr>
    <w:rPr>
      <w:rFonts w:ascii="Cambria" w:eastAsia="Times New Roman" w:hAnsi="Cambria"/>
      <w:b/>
      <w:bCs/>
      <w:kern w:val="28"/>
      <w:sz w:val="32"/>
      <w:szCs w:val="32"/>
      <w:lang w:eastAsia="ru-RU"/>
    </w:rPr>
  </w:style>
  <w:style w:type="character" w:customStyle="1" w:styleId="a8">
    <w:name w:val="Название Знак"/>
    <w:link w:val="a7"/>
    <w:uiPriority w:val="10"/>
    <w:rsid w:val="00031FF8"/>
    <w:rPr>
      <w:rFonts w:ascii="Cambria" w:eastAsia="Times New Roman" w:hAnsi="Cambria"/>
      <w:b/>
      <w:bCs/>
      <w:kern w:val="28"/>
      <w:sz w:val="32"/>
      <w:szCs w:val="32"/>
    </w:rPr>
  </w:style>
  <w:style w:type="character" w:styleId="a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031FF8"/>
    <w:rPr>
      <w:rFonts w:cs="Times New Roman"/>
      <w:vertAlign w:val="superscript"/>
    </w:rPr>
  </w:style>
  <w:style w:type="paragraph" w:styleId="2">
    <w:name w:val="Body Text Indent 2"/>
    <w:basedOn w:val="a"/>
    <w:link w:val="20"/>
    <w:rsid w:val="00F21C54"/>
    <w:pPr>
      <w:spacing w:after="120" w:line="480" w:lineRule="auto"/>
      <w:ind w:left="283"/>
    </w:pPr>
    <w:rPr>
      <w:rFonts w:ascii="Times New Roman" w:eastAsia="Times New Roman" w:hAnsi="Times New Roman"/>
      <w:sz w:val="24"/>
      <w:szCs w:val="24"/>
      <w:lang/>
    </w:rPr>
  </w:style>
  <w:style w:type="character" w:customStyle="1" w:styleId="20">
    <w:name w:val="Основной текст с отступом 2 Знак"/>
    <w:link w:val="2"/>
    <w:rsid w:val="00F21C54"/>
    <w:rPr>
      <w:rFonts w:ascii="Times New Roman" w:eastAsia="Times New Roman" w:hAnsi="Times New Roman"/>
      <w:sz w:val="24"/>
      <w:szCs w:val="24"/>
      <w:lang/>
    </w:rPr>
  </w:style>
  <w:style w:type="character" w:customStyle="1" w:styleId="10">
    <w:name w:val="Заголовок 1 Знак"/>
    <w:basedOn w:val="a0"/>
    <w:link w:val="1"/>
    <w:uiPriority w:val="9"/>
    <w:rsid w:val="00DA6674"/>
    <w:rPr>
      <w:rFonts w:ascii="Cambria" w:eastAsia="Times New Roman" w:hAnsi="Cambria"/>
      <w:b/>
      <w:bCs/>
      <w:sz w:val="28"/>
      <w:szCs w:val="28"/>
    </w:rPr>
  </w:style>
  <w:style w:type="paragraph" w:customStyle="1" w:styleId="bodytxt">
    <w:name w:val="bodytxt"/>
    <w:basedOn w:val="a"/>
    <w:rsid w:val="00DA6674"/>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unhideWhenUsed/>
    <w:rsid w:val="001A64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644C"/>
    <w:rPr>
      <w:sz w:val="22"/>
      <w:szCs w:val="22"/>
      <w:lang w:eastAsia="en-US"/>
    </w:rPr>
  </w:style>
  <w:style w:type="character" w:styleId="ac">
    <w:name w:val="page number"/>
    <w:basedOn w:val="a0"/>
    <w:uiPriority w:val="99"/>
    <w:semiHidden/>
    <w:unhideWhenUsed/>
    <w:rsid w:val="001A6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412"/>
    <w:pPr>
      <w:spacing w:after="200" w:line="276" w:lineRule="auto"/>
    </w:pPr>
    <w:rPr>
      <w:sz w:val="22"/>
      <w:szCs w:val="22"/>
      <w:lang w:eastAsia="en-US"/>
    </w:rPr>
  </w:style>
  <w:style w:type="paragraph" w:styleId="1">
    <w:name w:val="heading 1"/>
    <w:basedOn w:val="a"/>
    <w:next w:val="a"/>
    <w:link w:val="10"/>
    <w:uiPriority w:val="9"/>
    <w:qFormat/>
    <w:rsid w:val="00DA6674"/>
    <w:pPr>
      <w:spacing w:before="480" w:after="0"/>
      <w:contextualSpacing/>
      <w:outlineLvl w:val="0"/>
    </w:pPr>
    <w:rPr>
      <w:rFonts w:ascii="Cambria" w:eastAsia="Times New Roman" w:hAnsi="Cambria"/>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1412"/>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AF1412"/>
    <w:rPr>
      <w:rFonts w:ascii="Tahoma" w:eastAsia="Calibri" w:hAnsi="Tahoma" w:cs="Tahoma"/>
      <w:sz w:val="16"/>
      <w:szCs w:val="16"/>
    </w:rPr>
  </w:style>
  <w:style w:type="paragraph" w:styleId="a5">
    <w:name w:val="footnote text"/>
    <w:aliases w:val="Table_Footnote_last,Schriftart: 9 pt,Schriftart: 10 pt,Schriftart: 8 pt,Текст сноски Знак1 Знак,Текст сноски Знак Знак Знак,Footnote Text Char Знак Знак,Footnote Text Char Знак,single space,Текст сноски-FN,fn,Texto de nota al p,footnote tex"/>
    <w:basedOn w:val="a"/>
    <w:link w:val="a6"/>
    <w:rsid w:val="00031FF8"/>
    <w:pPr>
      <w:spacing w:after="0" w:line="240" w:lineRule="auto"/>
    </w:pPr>
    <w:rPr>
      <w:rFonts w:ascii="Times New Roman" w:eastAsia="Times New Roman" w:hAnsi="Times New Roman"/>
      <w:sz w:val="20"/>
      <w:szCs w:val="20"/>
      <w:lang w:val="x-none" w:eastAsia="x-none"/>
    </w:rPr>
  </w:style>
  <w:style w:type="character" w:customStyle="1" w:styleId="a6">
    <w:name w:val="Текст сноски Знак"/>
    <w:aliases w:val="Table_Footnote_last Знак,Schriftart: 9 pt Знак,Schriftart: 10 pt Знак,Schriftart: 8 pt Знак,Текст сноски Знак1 Знак Знак,Текст сноски Знак Знак Знак Знак,Footnote Text Char Знак Знак Знак,Footnote Text Char Знак Знак1,single space Знак"/>
    <w:link w:val="a5"/>
    <w:rsid w:val="00031FF8"/>
    <w:rPr>
      <w:rFonts w:ascii="Times New Roman" w:eastAsia="Times New Roman" w:hAnsi="Times New Roman"/>
      <w:lang w:val="x-none" w:eastAsia="x-none"/>
    </w:rPr>
  </w:style>
  <w:style w:type="paragraph" w:styleId="a7">
    <w:name w:val="Title"/>
    <w:basedOn w:val="a"/>
    <w:next w:val="a"/>
    <w:link w:val="a8"/>
    <w:uiPriority w:val="10"/>
    <w:qFormat/>
    <w:rsid w:val="00031FF8"/>
    <w:pPr>
      <w:widowControl w:val="0"/>
      <w:autoSpaceDE w:val="0"/>
      <w:autoSpaceDN w:val="0"/>
      <w:adjustRightInd w:val="0"/>
      <w:spacing w:before="240" w:after="60" w:line="240" w:lineRule="auto"/>
      <w:jc w:val="center"/>
      <w:outlineLvl w:val="0"/>
    </w:pPr>
    <w:rPr>
      <w:rFonts w:ascii="Cambria" w:eastAsia="Times New Roman" w:hAnsi="Cambria"/>
      <w:b/>
      <w:bCs/>
      <w:kern w:val="28"/>
      <w:sz w:val="32"/>
      <w:szCs w:val="32"/>
      <w:lang w:eastAsia="ru-RU"/>
    </w:rPr>
  </w:style>
  <w:style w:type="character" w:customStyle="1" w:styleId="a8">
    <w:name w:val="Название Знак"/>
    <w:link w:val="a7"/>
    <w:uiPriority w:val="10"/>
    <w:rsid w:val="00031FF8"/>
    <w:rPr>
      <w:rFonts w:ascii="Cambria" w:eastAsia="Times New Roman" w:hAnsi="Cambria"/>
      <w:b/>
      <w:bCs/>
      <w:kern w:val="28"/>
      <w:sz w:val="32"/>
      <w:szCs w:val="32"/>
    </w:rPr>
  </w:style>
  <w:style w:type="character" w:styleId="a9">
    <w:name w:val="footnote reference"/>
    <w:aliases w:val="Знак сноски 1,Знак сноски-FN,Ciae niinee-FN,SUPERS,Referencia nota al pie,fr,Used by Word for Help footnote symbols,16 Point,Superscript 6 Point,BVI fnr,Ciae niinee 1,Footnote Reference Number,ftref,анкета сноска,Ссылка на сноску 45"/>
    <w:rsid w:val="00031FF8"/>
    <w:rPr>
      <w:rFonts w:cs="Times New Roman"/>
      <w:vertAlign w:val="superscript"/>
    </w:rPr>
  </w:style>
  <w:style w:type="paragraph" w:styleId="2">
    <w:name w:val="Body Text Indent 2"/>
    <w:basedOn w:val="a"/>
    <w:link w:val="20"/>
    <w:rsid w:val="00F21C54"/>
    <w:pPr>
      <w:spacing w:after="120" w:line="480" w:lineRule="auto"/>
      <w:ind w:left="283"/>
    </w:pPr>
    <w:rPr>
      <w:rFonts w:ascii="Times New Roman" w:eastAsia="Times New Roman" w:hAnsi="Times New Roman"/>
      <w:sz w:val="24"/>
      <w:szCs w:val="24"/>
      <w:lang w:val="x-none" w:eastAsia="x-none"/>
    </w:rPr>
  </w:style>
  <w:style w:type="character" w:customStyle="1" w:styleId="20">
    <w:name w:val="Основной текст с отступом 2 Знак"/>
    <w:link w:val="2"/>
    <w:rsid w:val="00F21C54"/>
    <w:rPr>
      <w:rFonts w:ascii="Times New Roman" w:eastAsia="Times New Roman" w:hAnsi="Times New Roman"/>
      <w:sz w:val="24"/>
      <w:szCs w:val="24"/>
      <w:lang w:val="x-none" w:eastAsia="x-none"/>
    </w:rPr>
  </w:style>
  <w:style w:type="character" w:customStyle="1" w:styleId="10">
    <w:name w:val="Заголовок 1 Знак"/>
    <w:basedOn w:val="a0"/>
    <w:link w:val="1"/>
    <w:uiPriority w:val="9"/>
    <w:rsid w:val="00DA6674"/>
    <w:rPr>
      <w:rFonts w:ascii="Cambria" w:eastAsia="Times New Roman" w:hAnsi="Cambria"/>
      <w:b/>
      <w:bCs/>
      <w:sz w:val="28"/>
      <w:szCs w:val="28"/>
    </w:rPr>
  </w:style>
  <w:style w:type="paragraph" w:customStyle="1" w:styleId="bodytxt">
    <w:name w:val="bodytxt"/>
    <w:basedOn w:val="a"/>
    <w:rsid w:val="00DA6674"/>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footer"/>
    <w:basedOn w:val="a"/>
    <w:link w:val="ab"/>
    <w:uiPriority w:val="99"/>
    <w:unhideWhenUsed/>
    <w:rsid w:val="001A64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644C"/>
    <w:rPr>
      <w:sz w:val="22"/>
      <w:szCs w:val="22"/>
      <w:lang w:eastAsia="en-US"/>
    </w:rPr>
  </w:style>
  <w:style w:type="character" w:styleId="ac">
    <w:name w:val="page number"/>
    <w:basedOn w:val="a0"/>
    <w:uiPriority w:val="99"/>
    <w:semiHidden/>
    <w:unhideWhenUsed/>
    <w:rsid w:val="001A64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dmhmao.ru/fotoal/priroda/samchug/6.jpg" TargetMode="External"/><Relationship Id="rId13" Type="http://schemas.openxmlformats.org/officeDocument/2006/relationships/oleObject" Target="embeddings/_____Microsoft_Office_Excel_97-20032.xls"/><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_____Microsoft_Office_Excel_97-20031.xls"/><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onomy.gov.ru/minec/about/structure/depmacro/201727100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ru-RU"/>
              <a:t>доля социальных расходов консолидированного бюджета ХМАО-Югры</a:t>
            </a:r>
          </a:p>
        </c:rich>
      </c:tx>
      <c:spPr>
        <a:noFill/>
        <a:ln>
          <a:noFill/>
        </a:ln>
        <a:effectLst/>
      </c:spPr>
    </c:title>
    <c:view3D>
      <c:depthPercent val="100"/>
      <c:rAngAx val="1"/>
    </c:view3D>
    <c:floor>
      <c:spPr>
        <a:solidFill>
          <a:schemeClr val="lt1">
            <a:alpha val="27000"/>
          </a:schemeClr>
        </a:solid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 процент</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dLbls>
            <c:dLbl>
              <c:idx val="0"/>
              <c:layout>
                <c:manualLayout>
                  <c:x val="2.3148148148148088E-2"/>
                  <c:y val="-2.3809523809523808E-2"/>
                </c:manualLayout>
              </c:layout>
              <c:showVal val="1"/>
              <c:extLst>
                <c:ext xmlns:c15="http://schemas.microsoft.com/office/drawing/2012/chart" uri="{CE6537A1-D6FC-4f65-9D91-7224C49458BB}"/>
              </c:extLst>
            </c:dLbl>
            <c:dLbl>
              <c:idx val="1"/>
              <c:layout>
                <c:manualLayout>
                  <c:x val="1.3888888888888907E-2"/>
                  <c:y val="-3.1746031746031703E-2"/>
                </c:manualLayout>
              </c:layout>
              <c:showVal val="1"/>
              <c:extLst>
                <c:ext xmlns:c15="http://schemas.microsoft.com/office/drawing/2012/chart" uri="{CE6537A1-D6FC-4f65-9D91-7224C49458BB}"/>
              </c:extLst>
            </c:dLbl>
            <c:dLbl>
              <c:idx val="2"/>
              <c:layout>
                <c:manualLayout>
                  <c:x val="4.629629629629632E-3"/>
                  <c:y val="-5.9523809523809597E-2"/>
                </c:manualLayout>
              </c:layout>
              <c:showVal val="1"/>
              <c:extLst>
                <c:ext xmlns:c15="http://schemas.microsoft.com/office/drawing/2012/chart" uri="{CE6537A1-D6FC-4f65-9D91-7224C49458BB}"/>
              </c:extLst>
            </c:dLbl>
            <c:dLbl>
              <c:idx val="3"/>
              <c:layout>
                <c:manualLayout>
                  <c:x val="1.6203703703703606E-2"/>
                  <c:y val="-3.1746031746031703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mn-lt"/>
                      <a:ea typeface="+mn-ea"/>
                      <a:cs typeface="+mn-cs"/>
                    </a:defRPr>
                  </a:pPr>
                  <a:endParaRPr lang="ru-RU"/>
                </a:p>
              </c:txPr>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Лист1!$A$2:$A$5</c:f>
              <c:numCache>
                <c:formatCode>General</c:formatCode>
                <c:ptCount val="4"/>
                <c:pt idx="0">
                  <c:v>2014</c:v>
                </c:pt>
                <c:pt idx="1">
                  <c:v>2015</c:v>
                </c:pt>
                <c:pt idx="2">
                  <c:v>2016</c:v>
                </c:pt>
                <c:pt idx="3">
                  <c:v>2017</c:v>
                </c:pt>
              </c:numCache>
            </c:numRef>
          </c:cat>
          <c:val>
            <c:numRef>
              <c:f>Лист1!$B$2:$B$5</c:f>
              <c:numCache>
                <c:formatCode>General</c:formatCode>
                <c:ptCount val="4"/>
                <c:pt idx="0">
                  <c:v>67.5</c:v>
                </c:pt>
                <c:pt idx="1">
                  <c:v>61.1</c:v>
                </c:pt>
                <c:pt idx="2">
                  <c:v>65.5</c:v>
                </c:pt>
                <c:pt idx="3">
                  <c:v>67.3</c:v>
                </c:pt>
              </c:numCache>
            </c:numRef>
          </c:val>
        </c:ser>
        <c:ser>
          <c:idx val="2"/>
          <c:order val="1"/>
          <c:tx>
            <c:strRef>
              <c:f>Лист1!$D$1</c:f>
              <c:strCache>
                <c:ptCount val="1"/>
                <c:pt idx="0">
                  <c:v>   </c:v>
                </c:pt>
              </c:strCache>
            </c:strRef>
          </c:tx>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cat>
            <c:numRef>
              <c:f>Лист1!$A$2:$A$5</c:f>
              <c:numCache>
                <c:formatCode>General</c:formatCode>
                <c:ptCount val="4"/>
                <c:pt idx="0">
                  <c:v>2014</c:v>
                </c:pt>
                <c:pt idx="1">
                  <c:v>2015</c:v>
                </c:pt>
                <c:pt idx="2">
                  <c:v>2016</c:v>
                </c:pt>
                <c:pt idx="3">
                  <c:v>2017</c:v>
                </c:pt>
              </c:numCache>
            </c:numRef>
          </c:cat>
          <c:val>
            <c:numRef>
              <c:f>Лист1!$D$2:$D$5</c:f>
              <c:numCache>
                <c:formatCode>General</c:formatCode>
                <c:ptCount val="4"/>
              </c:numCache>
            </c:numRef>
          </c:val>
        </c:ser>
        <c:shape val="box"/>
        <c:axId val="115015680"/>
        <c:axId val="115017600"/>
        <c:axId val="92203200"/>
      </c:bar3DChart>
      <c:catAx>
        <c:axId val="11501568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50000"/>
                    <a:lumOff val="50000"/>
                  </a:schemeClr>
                </a:solidFill>
                <a:latin typeface="+mn-lt"/>
                <a:ea typeface="+mn-ea"/>
                <a:cs typeface="+mn-cs"/>
              </a:defRPr>
            </a:pPr>
            <a:endParaRPr lang="ru-RU"/>
          </a:p>
        </c:txPr>
        <c:crossAx val="115017600"/>
        <c:crosses val="autoZero"/>
        <c:auto val="1"/>
        <c:lblAlgn val="ctr"/>
        <c:lblOffset val="100"/>
      </c:catAx>
      <c:valAx>
        <c:axId val="115017600"/>
        <c:scaling>
          <c:orientation val="minMax"/>
        </c:scaling>
        <c:axPos val="l"/>
        <c:majorGridlines>
          <c:spPr>
            <a:ln w="9525" cap="flat" cmpd="sng" algn="ctr">
              <a:solidFill>
                <a:schemeClr val="tx1">
                  <a:lumMod val="5000"/>
                  <a:lumOff val="9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5015680"/>
        <c:crosses val="autoZero"/>
        <c:crossBetween val="between"/>
      </c:valAx>
      <c:serAx>
        <c:axId val="92203200"/>
        <c:scaling>
          <c:orientation val="minMax"/>
        </c:scaling>
        <c:axPos val="b"/>
        <c:numFmt formatCode="0.00%" sourceLinked="1"/>
        <c:majorTickMark val="none"/>
        <c:tickLblPos val="nextTo"/>
        <c:spPr>
          <a:noFill/>
          <a:ln>
            <a:solidFill>
              <a:schemeClr val="accent1">
                <a:alpha val="78000"/>
              </a:schemeClr>
            </a:solidFill>
          </a:ln>
          <a:effectLst>
            <a:glow rad="101600">
              <a:schemeClr val="accent2">
                <a:satMod val="175000"/>
                <a:alpha val="40000"/>
              </a:schemeClr>
            </a:glow>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5017600"/>
        <c:crosses val="autoZero"/>
      </c:ser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47792F-73F0-412A-BB3C-AD6D7BCE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2840</Words>
  <Characters>16194</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Headings</vt:lpstr>
      </vt:variant>
      <vt:variant>
        <vt:i4>6</vt:i4>
      </vt:variant>
    </vt:vector>
  </HeadingPairs>
  <TitlesOfParts>
    <vt:vector size="7" baseType="lpstr">
      <vt:lpstr/>
      <vt:lpstr>Доклад</vt:lpstr>
      <vt:lpstr>о наркоситуации в Ханты-Мансийском</vt:lpstr>
      <vt:lpstr>автономном округе – Югре в 2017 году</vt:lpstr>
      <vt:lpstr>1. Характеристика Ханты-Мансийского автономного округа – Югры.</vt:lpstr>
      <vt:lpstr>Таблица 1 </vt:lpstr>
      <vt:lpstr>    Среди въехавших в округ иностранных граждан на основании визы, преобладают гра</vt:lpstr>
    </vt:vector>
  </TitlesOfParts>
  <Company>Uapa</Company>
  <LinksUpToDate>false</LinksUpToDate>
  <CharactersWithSpaces>18997</CharactersWithSpaces>
  <SharedDoc>false</SharedDoc>
  <HLinks>
    <vt:vector size="12" baseType="variant">
      <vt:variant>
        <vt:i4>2687095</vt:i4>
      </vt:variant>
      <vt:variant>
        <vt:i4>0</vt:i4>
      </vt:variant>
      <vt:variant>
        <vt:i4>0</vt:i4>
      </vt:variant>
      <vt:variant>
        <vt:i4>5</vt:i4>
      </vt:variant>
      <vt:variant>
        <vt:lpwstr>http://www.admhmao.ru/fotoal/priroda/samchug/6.jpg</vt:lpwstr>
      </vt:variant>
      <vt:variant>
        <vt:lpwstr/>
      </vt:variant>
      <vt:variant>
        <vt:i4>8126466</vt:i4>
      </vt:variant>
      <vt:variant>
        <vt:i4>0</vt:i4>
      </vt:variant>
      <vt:variant>
        <vt:i4>0</vt:i4>
      </vt:variant>
      <vt:variant>
        <vt:i4>5</vt:i4>
      </vt:variant>
      <vt:variant>
        <vt:lpwstr>http://economy.gov.ru/minec/about/structure/depmacro/2017271001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Chevtaeva_NG</dc:creator>
  <cp:lastModifiedBy>Колесник Елена Николаевна</cp:lastModifiedBy>
  <cp:revision>1</cp:revision>
  <dcterms:created xsi:type="dcterms:W3CDTF">2018-02-19T05:58:00Z</dcterms:created>
  <dcterms:modified xsi:type="dcterms:W3CDTF">2018-03-06T07:13:00Z</dcterms:modified>
</cp:coreProperties>
</file>