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6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письму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96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Департамента образования и науки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7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firstLine="709"/>
        <w:jc w:val="center"/>
        <w:spacing w:after="251" w:line="259" w:lineRule="auto"/>
      </w:pPr>
      <w:r>
        <w:rPr>
          <w:rFonts w:ascii="Calibri" w:hAnsi="Calibri" w:eastAsia="Calibri" w:cs="Calibri"/>
          <w:b/>
          <w:sz w:val="60"/>
        </w:rPr>
        <w:t xml:space="preserve"> </w:t>
      </w:r>
      <w:r/>
    </w:p>
    <w:p>
      <w:pPr>
        <w:ind w:left="0" w:firstLine="709"/>
        <w:jc w:val="center"/>
        <w:spacing w:after="274" w:line="259" w:lineRule="auto"/>
      </w:pPr>
      <w:r>
        <w:rPr>
          <w:rFonts w:ascii="Calibri" w:hAnsi="Calibri" w:eastAsia="Calibri" w:cs="Calibri"/>
          <w:b/>
          <w:sz w:val="60"/>
          <w:highlight w:val="none"/>
        </w:rPr>
      </w:r>
      <w:r>
        <w:rPr>
          <w:rFonts w:ascii="Calibri" w:hAnsi="Calibri" w:eastAsia="Calibri" w:cs="Calibri"/>
          <w:b/>
          <w:sz w:val="60"/>
          <w:highlight w:val="none"/>
        </w:rPr>
      </w:r>
      <w:r/>
    </w:p>
    <w:p>
      <w:pPr>
        <w:ind w:left="0" w:firstLine="709"/>
        <w:jc w:val="center"/>
        <w:spacing w:after="274" w:line="259" w:lineRule="auto"/>
        <w:rPr>
          <w:rFonts w:ascii="Calibri" w:hAnsi="Calibri" w:eastAsia="Calibri" w:cs="Calibri"/>
          <w:b/>
          <w:bCs/>
          <w:sz w:val="60"/>
          <w:szCs w:val="60"/>
          <w:highlight w:val="none"/>
        </w:rPr>
      </w:pPr>
      <w:r>
        <w:rPr>
          <w:rFonts w:ascii="Calibri" w:hAnsi="Calibri" w:eastAsia="Calibri" w:cs="Calibri"/>
          <w:b/>
          <w:sz w:val="60"/>
          <w:highlight w:val="none"/>
        </w:rPr>
      </w:r>
      <w:r>
        <w:rPr>
          <w:rFonts w:ascii="Calibri" w:hAnsi="Calibri" w:eastAsia="Calibri" w:cs="Calibri"/>
          <w:b/>
          <w:sz w:val="60"/>
          <w:highlight w:val="none"/>
        </w:rPr>
      </w:r>
      <w:r/>
    </w:p>
    <w:p>
      <w:pPr>
        <w:ind w:left="0" w:firstLine="709"/>
        <w:jc w:val="center"/>
        <w:spacing w:after="274" w:line="259" w:lineRule="auto"/>
        <w:rPr>
          <w:rFonts w:ascii="Calibri" w:hAnsi="Calibri" w:eastAsia="Calibri" w:cs="Calibri"/>
          <w:b/>
          <w:bCs/>
          <w:sz w:val="60"/>
          <w:szCs w:val="60"/>
          <w:highlight w:val="none"/>
        </w:rPr>
      </w:pPr>
      <w:r>
        <w:rPr>
          <w:rFonts w:ascii="Calibri" w:hAnsi="Calibri" w:eastAsia="Calibri" w:cs="Calibri"/>
          <w:b/>
          <w:sz w:val="60"/>
        </w:rPr>
        <w:t xml:space="preserve"> </w:t>
      </w:r>
      <w:r/>
    </w:p>
    <w:p>
      <w:pPr>
        <w:ind w:left="0" w:firstLine="709"/>
        <w:jc w:val="center"/>
        <w:spacing w:after="2"/>
        <w:rPr>
          <w:b/>
        </w:rPr>
      </w:pPr>
      <w:r>
        <w:rPr>
          <w:b/>
        </w:rPr>
        <w:t xml:space="preserve">Регламент по организации </w:t>
      </w:r>
      <w:r>
        <w:rPr>
          <w:b/>
        </w:rPr>
        <w:t xml:space="preserve">аудиозаписи, </w:t>
      </w:r>
      <w:r>
        <w:rPr>
          <w:b/>
        </w:rPr>
        <w:t xml:space="preserve">видео</w:t>
      </w:r>
      <w:r>
        <w:rPr>
          <w:b/>
        </w:rPr>
        <w:t xml:space="preserve">записи</w:t>
      </w:r>
      <w:r>
        <w:rPr>
          <w:b/>
        </w:rPr>
        <w:t xml:space="preserve"> при проведении тестирования на знание русского языка, достаточное </w:t>
        <w:br/>
        <w:t xml:space="preserve">для освоения образовательных программ начального общего, основного общего и среднего общего образования, иностранных граждан и (или) лиц без гражданства </w:t>
      </w:r>
      <w:r>
        <w:rPr>
          <w:b/>
        </w:rPr>
      </w:r>
      <w:r/>
    </w:p>
    <w:p>
      <w:pPr>
        <w:ind w:left="0" w:firstLine="709"/>
        <w:jc w:val="left"/>
        <w:spacing w:after="450" w:line="259" w:lineRule="auto"/>
      </w:pPr>
      <w:r>
        <w:t xml:space="preserve"> </w:t>
      </w:r>
      <w:r/>
    </w:p>
    <w:p>
      <w:pPr>
        <w:ind w:left="0" w:firstLine="709"/>
        <w:jc w:val="center"/>
        <w:spacing w:after="251" w:line="259" w:lineRule="auto"/>
      </w:pPr>
      <w:r>
        <w:rPr>
          <w:rFonts w:ascii="Calibri" w:hAnsi="Calibri" w:eastAsia="Calibri" w:cs="Calibri"/>
          <w:b/>
          <w:sz w:val="60"/>
        </w:rPr>
        <w:t xml:space="preserve"> </w:t>
      </w:r>
      <w:r/>
    </w:p>
    <w:p>
      <w:pPr>
        <w:ind w:left="0" w:firstLine="709"/>
        <w:jc w:val="center"/>
        <w:spacing w:after="251" w:line="259" w:lineRule="auto"/>
      </w:pPr>
      <w:r>
        <w:rPr>
          <w:rFonts w:ascii="Calibri" w:hAnsi="Calibri" w:eastAsia="Calibri" w:cs="Calibri"/>
          <w:b/>
          <w:sz w:val="60"/>
        </w:rPr>
        <w:t xml:space="preserve"> </w:t>
      </w:r>
      <w:r/>
    </w:p>
    <w:p>
      <w:pPr>
        <w:ind w:left="0" w:firstLine="709"/>
        <w:jc w:val="center"/>
        <w:spacing w:after="251" w:line="259" w:lineRule="auto"/>
      </w:pPr>
      <w:r>
        <w:rPr>
          <w:rFonts w:ascii="Calibri" w:hAnsi="Calibri" w:eastAsia="Calibri" w:cs="Calibri"/>
          <w:b/>
          <w:sz w:val="60"/>
        </w:rPr>
        <w:t xml:space="preserve"> </w:t>
      </w:r>
      <w:r/>
    </w:p>
    <w:p>
      <w:pPr>
        <w:ind w:left="0" w:firstLine="709"/>
        <w:jc w:val="left"/>
        <w:spacing w:after="0" w:line="259" w:lineRule="auto"/>
      </w:pPr>
      <w:r/>
      <w:r/>
    </w:p>
    <w:p>
      <w:pPr>
        <w:ind w:left="0" w:firstLine="709"/>
        <w:jc w:val="left"/>
        <w:spacing w:after="0" w:line="259" w:lineRule="auto"/>
      </w:pPr>
      <w:r/>
      <w:r/>
    </w:p>
    <w:p>
      <w:pPr>
        <w:ind w:left="0" w:firstLine="709"/>
        <w:jc w:val="left"/>
        <w:spacing w:after="0" w:line="259" w:lineRule="auto"/>
      </w:pPr>
      <w:r/>
      <w:r/>
    </w:p>
    <w:p>
      <w:pPr>
        <w:ind w:left="0" w:firstLine="709"/>
        <w:jc w:val="left"/>
        <w:spacing w:after="0" w:line="259" w:lineRule="auto"/>
      </w:pPr>
      <w:r/>
      <w:r/>
    </w:p>
    <w:p>
      <w:pPr>
        <w:ind w:left="0" w:firstLine="709"/>
        <w:jc w:val="left"/>
        <w:spacing w:after="0" w:line="259" w:lineRule="auto"/>
      </w:pPr>
      <w:r/>
      <w:r/>
    </w:p>
    <w:p>
      <w:pPr>
        <w:ind w:left="0" w:firstLine="709"/>
        <w:jc w:val="left"/>
        <w:spacing w:after="0" w:line="259" w:lineRule="auto"/>
      </w:pPr>
      <w:r/>
      <w:r/>
    </w:p>
    <w:p>
      <w:pPr>
        <w:ind w:left="0" w:firstLine="709"/>
        <w:jc w:val="left"/>
        <w:spacing w:after="0" w:line="259" w:lineRule="auto"/>
      </w:pPr>
      <w:r/>
      <w:r/>
    </w:p>
    <w:p>
      <w:pPr>
        <w:ind w:left="0" w:firstLine="709"/>
        <w:jc w:val="left"/>
        <w:spacing w:after="0" w:line="259" w:lineRule="auto"/>
      </w:pPr>
      <w:r/>
      <w:r/>
    </w:p>
    <w:p>
      <w:pPr>
        <w:ind w:left="0" w:firstLine="709"/>
        <w:jc w:val="left"/>
        <w:spacing w:after="0" w:line="259" w:lineRule="auto"/>
      </w:pPr>
      <w:r/>
      <w:r/>
    </w:p>
    <w:p>
      <w:pPr>
        <w:ind w:left="0" w:firstLine="709"/>
        <w:jc w:val="left"/>
        <w:spacing w:after="0" w:line="259" w:lineRule="auto"/>
      </w:pPr>
      <w:r/>
      <w:r/>
    </w:p>
    <w:p>
      <w:pPr>
        <w:ind w:left="0" w:firstLine="709"/>
        <w:jc w:val="left"/>
        <w:spacing w:after="0" w:line="259" w:lineRule="auto"/>
      </w:pPr>
      <w:r/>
      <w:r/>
    </w:p>
    <w:p>
      <w:pPr>
        <w:ind w:left="0" w:firstLine="709"/>
        <w:jc w:val="left"/>
        <w:spacing w:after="131" w:line="259" w:lineRule="auto"/>
      </w:pPr>
      <w:r>
        <w:t xml:space="preserve"> </w:t>
      </w:r>
      <w:r/>
    </w:p>
    <w:p>
      <w:pPr>
        <w:ind w:left="0" w:firstLine="709"/>
        <w:jc w:val="center"/>
        <w:spacing w:after="134" w:line="259" w:lineRule="auto"/>
      </w:pPr>
      <w:r>
        <w:t xml:space="preserve">г. Ханты-Мансийск</w:t>
      </w:r>
      <w:r/>
    </w:p>
    <w:p>
      <w:pPr>
        <w:contextualSpacing/>
        <w:ind w:left="0" w:firstLine="709"/>
        <w:spacing w:after="0" w:line="276" w:lineRule="auto"/>
      </w:pPr>
      <w:r>
        <w:t xml:space="preserve">1. </w:t>
      </w:r>
      <w:r>
        <w:t xml:space="preserve">В настоящем документе используются следующие термины и определения: </w:t>
      </w:r>
      <w:r/>
    </w:p>
    <w:p>
      <w:pPr>
        <w:contextualSpacing/>
        <w:ind w:left="0" w:firstLine="709"/>
        <w:spacing w:after="0" w:line="276" w:lineRule="auto"/>
      </w:pPr>
      <w:r>
        <w:t xml:space="preserve">Пункт прохождения тестирования (ППТ) </w:t>
      </w:r>
      <w:r>
        <w:t xml:space="preserve">–</w:t>
      </w:r>
      <w:r>
        <w:t xml:space="preserve"> общеобразовательная организация, утвержденная в качестве ППТ для проведения тестирования </w:t>
      </w:r>
      <w:r>
        <w:rPr>
          <w:szCs w:val="28"/>
        </w:rPr>
        <w:t xml:space="preserve">иностран</w:t>
      </w:r>
      <w:r>
        <w:rPr>
          <w:szCs w:val="28"/>
          <w:lang w:eastAsia="en-US" w:bidi="en-US"/>
        </w:rPr>
        <w:t xml:space="preserve">ных граждан и(или) лиц без гражданства на знание русского языка, достаточного для освоения образовательных программ начального общего, основного общего и среднего общего образования</w:t>
      </w:r>
      <w:r>
        <w:rPr>
          <w:szCs w:val="28"/>
        </w:rPr>
        <w:t xml:space="preserve"> (далее соответственно – иностранные граждане, тестирование), </w:t>
      </w:r>
      <w:r>
        <w:t xml:space="preserve">приказом Департамента образования и науки Ханты-Мансийского автономного округа – Югры.</w:t>
      </w:r>
      <w:r/>
    </w:p>
    <w:p>
      <w:pPr>
        <w:contextualSpacing/>
        <w:ind w:left="0" w:firstLine="709"/>
        <w:spacing w:after="0" w:line="276" w:lineRule="auto"/>
      </w:pPr>
      <w:r>
        <w:t xml:space="preserve">ОО </w:t>
      </w:r>
      <w:r>
        <w:t xml:space="preserve">–</w:t>
      </w:r>
      <w:r>
        <w:t xml:space="preserve"> общеобразовательная организация</w:t>
      </w:r>
      <w:r>
        <w:t xml:space="preserve">, на базе которой создан ППТ иностранных граждан</w:t>
      </w:r>
      <w:r>
        <w:t xml:space="preserve"> (тестирующая организация)</w:t>
      </w:r>
      <w:r>
        <w:t xml:space="preserve">.</w:t>
      </w:r>
      <w:r>
        <w:t xml:space="preserve"> </w:t>
      </w:r>
      <w:r/>
    </w:p>
    <w:p>
      <w:pPr>
        <w:contextualSpacing/>
        <w:ind w:left="0" w:firstLine="709"/>
        <w:spacing w:after="0" w:line="276" w:lineRule="auto"/>
      </w:pPr>
      <w:r>
        <w:t xml:space="preserve">Средства видео</w:t>
      </w:r>
      <w:r>
        <w:t xml:space="preserve">записи</w:t>
      </w:r>
      <w:r>
        <w:t xml:space="preserve"> </w:t>
      </w:r>
      <w:r>
        <w:t xml:space="preserve">–</w:t>
      </w:r>
      <w:r>
        <w:t xml:space="preserve"> технические устройства, предназначенные для непосредственного видеонаблюдения, видеозаписи процедур</w:t>
      </w:r>
      <w:r>
        <w:t xml:space="preserve">ы проведения </w:t>
      </w:r>
      <w:r>
        <w:t xml:space="preserve">тестирования иностранных граждан</w:t>
      </w:r>
      <w:r>
        <w:t xml:space="preserve"> в ППТ</w:t>
      </w:r>
      <w:r>
        <w:t xml:space="preserve">. </w:t>
      </w:r>
      <w:r/>
    </w:p>
    <w:p>
      <w:pPr>
        <w:contextualSpacing/>
        <w:ind w:left="0" w:firstLine="709"/>
        <w:spacing w:after="0" w:line="276" w:lineRule="auto"/>
      </w:pPr>
      <w:r>
        <w:t xml:space="preserve">Средства аудиозаписи – технические устройства, предназначенные для фиксации (сохранения) записи звука устных ответов иностранных граждан, при проведении тестирования в ППТ. </w:t>
      </w:r>
      <w:r/>
    </w:p>
    <w:p>
      <w:pPr>
        <w:contextualSpacing/>
        <w:ind w:left="0" w:firstLine="709"/>
        <w:spacing w:after="0" w:line="276" w:lineRule="auto"/>
      </w:pPr>
      <w:r>
        <w:t xml:space="preserve">Технический специалист </w:t>
      </w:r>
      <w:r>
        <w:t xml:space="preserve">–</w:t>
      </w:r>
      <w:r>
        <w:t xml:space="preserve"> лицо, которое назначается руководителем об</w:t>
      </w:r>
      <w:r>
        <w:t xml:space="preserve">щеоб</w:t>
      </w:r>
      <w:r>
        <w:t xml:space="preserve">разовательной организации, отвечает за обеспечение условий для монтажа, настройки и ввода в эксплуатацию системы видеонаблюдения </w:t>
      </w:r>
      <w:r>
        <w:t xml:space="preserve">и средств аудиозаписи </w:t>
      </w:r>
      <w:r>
        <w:t xml:space="preserve">в ППТ, ее использование в период проведения </w:t>
      </w:r>
      <w:r>
        <w:t xml:space="preserve">тестирования иностранных граждан</w:t>
      </w:r>
      <w:r>
        <w:t xml:space="preserve">. </w:t>
      </w:r>
      <w:r/>
    </w:p>
    <w:p>
      <w:pPr>
        <w:contextualSpacing/>
        <w:ind w:left="0" w:firstLine="709"/>
        <w:spacing w:after="0" w:line="276" w:lineRule="auto"/>
      </w:pPr>
      <w:r>
        <w:t xml:space="preserve">2. </w:t>
      </w:r>
      <w:r>
        <w:t xml:space="preserve">Организация</w:t>
      </w:r>
      <w:r>
        <w:t xml:space="preserve"> аудио</w:t>
      </w:r>
      <w:r>
        <w:t xml:space="preserve">записи, </w:t>
      </w:r>
      <w:r>
        <w:t xml:space="preserve">видеозаписи</w:t>
      </w:r>
      <w:r>
        <w:t xml:space="preserve"> </w:t>
      </w:r>
      <w:r>
        <w:t xml:space="preserve">в ППТ производится в целях повышения уровня доверия </w:t>
      </w:r>
      <w:r>
        <w:t xml:space="preserve">иностранных </w:t>
      </w:r>
      <w:r>
        <w:t xml:space="preserve">граждан к процедурам проведения </w:t>
      </w:r>
      <w:r>
        <w:t xml:space="preserve">тестирования</w:t>
      </w:r>
      <w:r>
        <w:t xml:space="preserve">. </w:t>
      </w:r>
      <w:r/>
    </w:p>
    <w:p>
      <w:pPr>
        <w:contextualSpacing/>
        <w:ind w:left="0" w:firstLine="709"/>
        <w:spacing w:after="0" w:line="276" w:lineRule="auto"/>
      </w:pPr>
      <w:r>
        <w:t xml:space="preserve">Средства </w:t>
      </w:r>
      <w:r>
        <w:t xml:space="preserve">аудиозаписи, видеозаписи </w:t>
      </w:r>
      <w:r>
        <w:t xml:space="preserve">применяются с учетом требований </w:t>
      </w:r>
      <w:r>
        <w:t xml:space="preserve">Порядка проведения в государственной или </w:t>
      </w:r>
      <w:r>
        <w:t xml:space="preserve">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</w:t>
      </w:r>
      <w:r>
        <w:t xml:space="preserve">ого</w:t>
      </w:r>
      <w:r>
        <w:t xml:space="preserve"> приказом Министерства просвещения Российской Федерации от 04.03.2025</w:t>
      </w:r>
      <w:r>
        <w:rPr>
          <w:szCs w:val="28"/>
        </w:rPr>
        <w:t xml:space="preserve"> № 170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>
        <w:rPr>
          <w:szCs w:val="28"/>
        </w:rPr>
        <w:t xml:space="preserve">.</w:t>
      </w:r>
      <w:r/>
    </w:p>
    <w:p>
      <w:pPr>
        <w:contextualSpacing/>
        <w:ind w:left="0" w:firstLine="709"/>
        <w:spacing w:after="0" w:line="276" w:lineRule="auto"/>
      </w:pPr>
      <w:r>
        <w:rPr>
          <w:szCs w:val="28"/>
        </w:rPr>
      </w:r>
      <w:r>
        <w:t xml:space="preserve">3</w:t>
      </w:r>
      <w:r>
        <w:t xml:space="preserve">.</w:t>
      </w:r>
      <w:r>
        <w:t xml:space="preserve"> Объект</w:t>
      </w:r>
      <w:r>
        <w:t xml:space="preserve">ом</w:t>
      </w:r>
      <w:r>
        <w:t xml:space="preserve"> </w:t>
      </w:r>
      <w:r>
        <w:t xml:space="preserve">аудиозаписи, видеозаписи </w:t>
      </w:r>
      <w:r>
        <w:t xml:space="preserve">явля</w:t>
      </w:r>
      <w:r>
        <w:t xml:space="preserve">е</w:t>
      </w:r>
      <w:r>
        <w:t xml:space="preserve">тся</w:t>
      </w:r>
      <w:r>
        <w:t xml:space="preserve">(</w:t>
      </w:r>
      <w:r>
        <w:t xml:space="preserve">ются</w:t>
      </w:r>
      <w:r>
        <w:t xml:space="preserve">)</w:t>
      </w:r>
      <w:r>
        <w:t xml:space="preserve"> </w:t>
      </w:r>
      <w:r>
        <w:t xml:space="preserve">помещени</w:t>
      </w:r>
      <w:r>
        <w:t xml:space="preserve">е(я)</w:t>
      </w:r>
      <w:r>
        <w:t xml:space="preserve"> </w:t>
        <w:br/>
      </w:r>
      <w:r>
        <w:t xml:space="preserve">с выделенны</w:t>
      </w:r>
      <w:r>
        <w:t xml:space="preserve">м</w:t>
      </w:r>
      <w:r>
        <w:t xml:space="preserve"> для каждого иностранного гражданина рабочим местом</w:t>
      </w:r>
      <w:r>
        <w:t xml:space="preserve"> (аудитори</w:t>
      </w:r>
      <w:r>
        <w:t xml:space="preserve">я(</w:t>
      </w:r>
      <w:r>
        <w:t xml:space="preserve">и</w:t>
      </w:r>
      <w:r>
        <w:t xml:space="preserve">)</w:t>
      </w:r>
      <w:r>
        <w:t xml:space="preserve"> ППТ), в котором проходит тестирование</w:t>
      </w:r>
      <w:r>
        <w:t xml:space="preserve">. </w:t>
      </w:r>
      <w:r/>
    </w:p>
    <w:p>
      <w:pPr>
        <w:contextualSpacing/>
        <w:ind w:left="0" w:firstLine="709"/>
        <w:spacing w:after="0" w:line="276" w:lineRule="auto"/>
      </w:pPr>
      <w:r>
        <w:t xml:space="preserve">4.</w:t>
      </w:r>
      <w:r>
        <w:t xml:space="preserve"> </w:t>
      </w:r>
      <w:r>
        <w:t xml:space="preserve">Для организации </w:t>
      </w:r>
      <w:r>
        <w:t xml:space="preserve">аудиозаписи, видеозаписи </w:t>
      </w:r>
      <w:r>
        <w:t xml:space="preserve">и координации действий по установке и эксплуатации </w:t>
      </w:r>
      <w:r>
        <w:t xml:space="preserve">технического </w:t>
      </w:r>
      <w:r>
        <w:t xml:space="preserve">оборудования </w:t>
      </w:r>
      <w:r>
        <w:t xml:space="preserve">привлекаются технические специалисты, </w:t>
      </w:r>
      <w:r>
        <w:t xml:space="preserve">назнач</w:t>
      </w:r>
      <w:r>
        <w:t xml:space="preserve">аемые</w:t>
      </w:r>
      <w:r>
        <w:t xml:space="preserve"> </w:t>
      </w:r>
      <w:r>
        <w:t xml:space="preserve">руководителем </w:t>
      </w:r>
      <w:r>
        <w:t xml:space="preserve">ОО</w:t>
      </w:r>
      <w:r>
        <w:t xml:space="preserve">.</w:t>
      </w:r>
      <w:r>
        <w:t xml:space="preserve"> </w:t>
      </w:r>
      <w:r/>
    </w:p>
    <w:p>
      <w:pPr>
        <w:contextualSpacing/>
        <w:ind w:left="0" w:firstLine="709"/>
        <w:spacing w:after="0" w:line="276" w:lineRule="auto"/>
      </w:pPr>
      <w:r>
        <w:t xml:space="preserve">5</w:t>
      </w:r>
      <w:r>
        <w:t xml:space="preserve">. В состав оборудования для </w:t>
      </w:r>
      <w:r>
        <w:t xml:space="preserve">аудиозаписи, видеозаписи </w:t>
      </w:r>
      <w:r>
        <w:t xml:space="preserve">входят: </w:t>
      </w:r>
      <w:r/>
    </w:p>
    <w:p>
      <w:pPr>
        <w:numPr>
          <w:ilvl w:val="0"/>
          <w:numId w:val="1"/>
        </w:numPr>
        <w:contextualSpacing/>
        <w:ind w:left="0" w:firstLine="709"/>
        <w:spacing w:after="0" w:line="276" w:lineRule="auto"/>
      </w:pPr>
      <w:r>
        <w:t xml:space="preserve">видеокамеры (возможно использование любой видеокамеры, обеспечивающей разрешение не менее 640*480 точек, </w:t>
      </w:r>
      <w:r>
        <w:t xml:space="preserve">с</w:t>
      </w:r>
      <w:r>
        <w:t xml:space="preserve"> запис</w:t>
      </w:r>
      <w:r>
        <w:t xml:space="preserve">ью</w:t>
      </w:r>
      <w:r>
        <w:t xml:space="preserve"> звука, при этом обязательным условием является наличие индикации процесса записи</w:t>
      </w:r>
      <w:r>
        <w:t xml:space="preserve">)</w:t>
      </w:r>
      <w:r>
        <w:t xml:space="preserve">; </w:t>
      </w:r>
      <w:r/>
    </w:p>
    <w:p>
      <w:pPr>
        <w:numPr>
          <w:ilvl w:val="0"/>
          <w:numId w:val="1"/>
        </w:numPr>
        <w:contextualSpacing/>
        <w:ind w:left="0" w:firstLine="709"/>
        <w:spacing w:after="0" w:line="276" w:lineRule="auto"/>
      </w:pPr>
      <w:r>
        <w:t xml:space="preserve">источник бесперебойного питания (далее </w:t>
      </w:r>
      <w:r>
        <w:t xml:space="preserve">–</w:t>
      </w:r>
      <w:r>
        <w:t xml:space="preserve"> ИБП) для оборудования, обеспечивающий его бесперебойную работу; </w:t>
      </w:r>
      <w:r/>
    </w:p>
    <w:p>
      <w:pPr>
        <w:numPr>
          <w:ilvl w:val="0"/>
          <w:numId w:val="1"/>
        </w:numPr>
        <w:contextualSpacing/>
        <w:ind w:left="0" w:firstLine="709"/>
        <w:spacing w:after="0" w:line="276" w:lineRule="auto"/>
      </w:pPr>
      <w:r>
        <w:t xml:space="preserve">крепления для камер</w:t>
      </w:r>
      <w:r>
        <w:t xml:space="preserve">;</w:t>
      </w:r>
      <w:r/>
    </w:p>
    <w:p>
      <w:pPr>
        <w:numPr>
          <w:ilvl w:val="0"/>
          <w:numId w:val="1"/>
        </w:numPr>
        <w:contextualSpacing/>
        <w:ind w:left="0" w:firstLine="709"/>
        <w:spacing w:after="0" w:line="276" w:lineRule="auto"/>
      </w:pPr>
      <w:r>
        <w:t xml:space="preserve">программные средства аудиозаписи.</w:t>
      </w:r>
      <w:r/>
    </w:p>
    <w:p>
      <w:pPr>
        <w:contextualSpacing/>
        <w:ind w:left="0" w:firstLine="709"/>
        <w:spacing w:after="0" w:line="276" w:lineRule="auto"/>
      </w:pPr>
      <w:r>
        <w:t xml:space="preserve">6</w:t>
      </w:r>
      <w:r>
        <w:t xml:space="preserve">. Средства </w:t>
      </w:r>
      <w:r>
        <w:t xml:space="preserve">аудиозаписи, видеозаписи </w:t>
      </w:r>
      <w:r>
        <w:t xml:space="preserve">размещаются в аудиториях ППТ исходя из следующих требований: </w:t>
      </w:r>
      <w:r/>
    </w:p>
    <w:p>
      <w:pPr>
        <w:numPr>
          <w:ilvl w:val="0"/>
          <w:numId w:val="1"/>
        </w:numPr>
        <w:contextualSpacing/>
        <w:ind w:left="0" w:firstLine="709"/>
        <w:spacing w:after="0" w:line="276" w:lineRule="auto"/>
      </w:pPr>
      <w:r>
        <w:t xml:space="preserve">в аудитории</w:t>
      </w:r>
      <w:r>
        <w:t xml:space="preserve"> ППТ</w:t>
      </w:r>
      <w:r>
        <w:t xml:space="preserve"> должно быть установлено не менее </w:t>
      </w:r>
      <w:r>
        <w:t xml:space="preserve">2</w:t>
      </w:r>
      <w:r>
        <w:t xml:space="preserve"> </w:t>
      </w:r>
      <w:r>
        <w:t xml:space="preserve">видеокамер,</w:t>
      </w:r>
      <w:r>
        <w:t xml:space="preserve"> </w:t>
      </w:r>
      <w:r>
        <w:t xml:space="preserve">обеспечивающих качественную </w:t>
      </w:r>
      <w:r>
        <w:t xml:space="preserve">видео</w:t>
      </w:r>
      <w:r>
        <w:t xml:space="preserve">запись</w:t>
      </w:r>
      <w:r>
        <w:t xml:space="preserve"> (для фиксации процедуры проведения тестирования), и 1 </w:t>
      </w:r>
      <w:r>
        <w:t xml:space="preserve">видео</w:t>
      </w:r>
      <w:r>
        <w:t xml:space="preserve">камер</w:t>
      </w:r>
      <w:r>
        <w:t xml:space="preserve">ы</w:t>
      </w:r>
      <w:r>
        <w:t xml:space="preserve">, обеспечивающей качественную </w:t>
      </w:r>
      <w:r>
        <w:t xml:space="preserve">аудиозапись, видеозапись </w:t>
      </w:r>
      <w:r>
        <w:t xml:space="preserve">(для фиксации устных ответов)</w:t>
      </w:r>
      <w:r>
        <w:t xml:space="preserve">; </w:t>
      </w:r>
      <w:r/>
    </w:p>
    <w:p>
      <w:pPr>
        <w:numPr>
          <w:ilvl w:val="0"/>
          <w:numId w:val="1"/>
        </w:numPr>
        <w:contextualSpacing/>
        <w:ind w:left="0" w:firstLine="709"/>
        <w:spacing w:after="0" w:line="276" w:lineRule="auto"/>
      </w:pPr>
      <w:r>
        <w:t xml:space="preserve">видео</w:t>
      </w:r>
      <w:r>
        <w:t xml:space="preserve">камеры, </w:t>
      </w:r>
      <w:r>
        <w:t xml:space="preserve">обеспечивающи</w:t>
      </w:r>
      <w:r>
        <w:t xml:space="preserve">е</w:t>
      </w:r>
      <w:r>
        <w:t xml:space="preserve"> видеозапись</w:t>
      </w:r>
      <w:r>
        <w:t xml:space="preserve"> </w:t>
      </w:r>
      <w:r>
        <w:t xml:space="preserve">для фиксации процедуры проведения тестирования,</w:t>
      </w:r>
      <w:r>
        <w:t xml:space="preserve"> </w:t>
      </w:r>
      <w:r>
        <w:t xml:space="preserve">следует устанавливать</w:t>
      </w:r>
      <w:r>
        <w:t xml:space="preserve">:</w:t>
      </w:r>
      <w:r/>
    </w:p>
    <w:p>
      <w:pPr>
        <w:contextualSpacing/>
        <w:ind w:left="0" w:firstLine="708"/>
        <w:spacing w:after="0" w:line="276" w:lineRule="auto"/>
      </w:pPr>
      <w:r>
        <w:t xml:space="preserve">в разных углах помещения так, чтобы помещение просматривалось полностью, </w:t>
      </w:r>
      <w:r>
        <w:t xml:space="preserve">в том числе </w:t>
      </w:r>
      <w:r>
        <w:t xml:space="preserve">чтобы свет из оконных проемов не создавал фоновой подсветки для камер; </w:t>
      </w:r>
      <w:r/>
    </w:p>
    <w:p>
      <w:pPr>
        <w:contextualSpacing/>
        <w:spacing w:after="0" w:line="276" w:lineRule="auto"/>
      </w:pPr>
      <w:r>
        <w:t xml:space="preserve">высота установки камер видеонаблюдения </w:t>
      </w:r>
      <w:r>
        <w:t xml:space="preserve">–</w:t>
      </w:r>
      <w:r>
        <w:t xml:space="preserve"> не менее 2 метров от пола; </w:t>
      </w:r>
      <w:r/>
    </w:p>
    <w:p>
      <w:pPr>
        <w:contextualSpacing/>
        <w:spacing w:after="0" w:line="276" w:lineRule="auto"/>
      </w:pPr>
      <w:r>
        <w:t xml:space="preserve">угол поворота камер видеонаблюдения должен быть выбран таким образом, чтобы в аудитории не оставалось «слепых» зон, были видны рабочие места всех участников тестирования;</w:t>
      </w:r>
      <w:r/>
    </w:p>
    <w:p>
      <w:pPr>
        <w:numPr>
          <w:ilvl w:val="0"/>
          <w:numId w:val="1"/>
        </w:numPr>
        <w:contextualSpacing/>
        <w:ind w:left="0" w:firstLine="709"/>
        <w:spacing w:after="0" w:line="276" w:lineRule="auto"/>
      </w:pPr>
      <w:r>
        <w:t xml:space="preserve">камера, обеспечивающая качественную </w:t>
      </w:r>
      <w:r>
        <w:t xml:space="preserve">аудиозапись, видеозапись </w:t>
      </w:r>
      <w:r>
        <w:t xml:space="preserve">(для фиксации устных ответов)</w:t>
      </w:r>
      <w:r>
        <w:t xml:space="preserve"> устанавливается</w:t>
      </w:r>
      <w:r>
        <w:t xml:space="preserve">:</w:t>
      </w:r>
      <w:r/>
    </w:p>
    <w:p>
      <w:pPr>
        <w:contextualSpacing/>
        <w:ind w:left="0" w:firstLine="708"/>
        <w:spacing w:after="0" w:line="276" w:lineRule="auto"/>
      </w:pPr>
      <w:r>
        <w:t xml:space="preserve">в непосредственной близости от тестируемого;</w:t>
      </w:r>
      <w:r/>
    </w:p>
    <w:p>
      <w:pPr>
        <w:contextualSpacing/>
        <w:spacing w:after="0" w:line="276" w:lineRule="auto"/>
      </w:pPr>
      <w:r>
        <w:t xml:space="preserve">различные предметы (мебель, цветы и пр.) не </w:t>
      </w:r>
      <w:r>
        <w:t xml:space="preserve">долж</w:t>
      </w:r>
      <w:r>
        <w:t xml:space="preserve">ны </w:t>
      </w:r>
      <w:r>
        <w:t xml:space="preserve">загораживать</w:t>
      </w:r>
      <w:r>
        <w:t xml:space="preserve"> обзор </w:t>
      </w:r>
      <w:r>
        <w:t xml:space="preserve">видео</w:t>
      </w:r>
      <w:r>
        <w:t xml:space="preserve">камер</w:t>
      </w:r>
      <w:r>
        <w:t xml:space="preserve">ы</w:t>
      </w:r>
      <w:r>
        <w:t xml:space="preserve">.</w:t>
      </w:r>
      <w:r/>
    </w:p>
    <w:p>
      <w:pPr>
        <w:contextualSpacing/>
        <w:ind w:left="0" w:firstLine="709"/>
        <w:spacing w:after="0" w:line="276" w:lineRule="auto"/>
      </w:pPr>
      <w:r>
        <w:t xml:space="preserve">7. </w:t>
      </w:r>
      <w:r>
        <w:t xml:space="preserve">После окончания тестирования технический специалист осуществляет копирование всех файлов </w:t>
      </w:r>
      <w:r>
        <w:t xml:space="preserve">аудиозаписи, видеозаписи </w:t>
      </w:r>
      <w:r>
        <w:t xml:space="preserve">на носители</w:t>
      </w:r>
      <w:r>
        <w:t xml:space="preserve"> (жесткий диск, </w:t>
      </w:r>
      <w:r>
        <w:t xml:space="preserve">флеш</w:t>
      </w:r>
      <w:r>
        <w:t xml:space="preserve">-накопители, </w:t>
      </w:r>
      <w:r>
        <w:rPr>
          <w:lang w:val="en-US"/>
        </w:rPr>
        <w:t xml:space="preserve">HDD</w:t>
      </w:r>
      <w:r>
        <w:t xml:space="preserve">-накопители, облачное хранилище)</w:t>
      </w:r>
      <w:r>
        <w:t xml:space="preserve">.</w:t>
      </w:r>
      <w:r/>
    </w:p>
    <w:p>
      <w:pPr>
        <w:contextualSpacing/>
        <w:ind w:left="0" w:firstLine="709"/>
        <w:spacing w:after="0" w:line="276" w:lineRule="auto"/>
      </w:pPr>
      <w:r>
        <w:t xml:space="preserve">8. </w:t>
      </w:r>
      <w:r>
        <w:t xml:space="preserve">Название ф</w:t>
      </w:r>
      <w:r>
        <w:t xml:space="preserve">айл</w:t>
      </w:r>
      <w:r>
        <w:t xml:space="preserve">а</w:t>
      </w:r>
      <w:r>
        <w:t xml:space="preserve"> а</w:t>
      </w:r>
      <w:r>
        <w:t xml:space="preserve">удиозапис</w:t>
      </w:r>
      <w:r>
        <w:t xml:space="preserve">и, </w:t>
      </w:r>
      <w:r>
        <w:t xml:space="preserve">видеозапис</w:t>
      </w:r>
      <w:r>
        <w:t xml:space="preserve">и</w:t>
      </w:r>
      <w:r>
        <w:t xml:space="preserve"> долж</w:t>
      </w:r>
      <w:r>
        <w:t xml:space="preserve">но</w:t>
      </w:r>
      <w:r>
        <w:t xml:space="preserve"> содержать следующую информацию: наименование ОО, дата проведения тестирования. </w:t>
      </w:r>
      <w:r/>
    </w:p>
    <w:p>
      <w:pPr>
        <w:contextualSpacing/>
        <w:ind w:left="0" w:firstLine="709"/>
        <w:spacing w:after="0" w:line="276" w:lineRule="auto"/>
      </w:pPr>
      <w:r>
        <w:t xml:space="preserve">9. А</w:t>
      </w:r>
      <w:r>
        <w:t xml:space="preserve">удиозаписи, видеозаписи </w:t>
      </w:r>
      <w:r>
        <w:t xml:space="preserve">передаются на хранение руководителю </w:t>
      </w:r>
      <w:r>
        <w:t xml:space="preserve">ОО</w:t>
      </w:r>
      <w:r>
        <w:t xml:space="preserve">. Руководитель ОО </w:t>
      </w:r>
      <w:r>
        <w:t xml:space="preserve">несет персональную ответственность за хранение переданных </w:t>
      </w:r>
      <w:r>
        <w:t xml:space="preserve">аудиозапис</w:t>
      </w:r>
      <w:r>
        <w:t xml:space="preserve">ей, </w:t>
      </w:r>
      <w:r>
        <w:t xml:space="preserve">видеозапис</w:t>
      </w:r>
      <w:r>
        <w:t xml:space="preserve">ей с учетом требований информационной безопасности</w:t>
      </w:r>
      <w:r>
        <w:t xml:space="preserve"> </w:t>
      </w:r>
      <w:r>
        <w:t xml:space="preserve">и организует беспрепятственный доступ к </w:t>
      </w:r>
      <w:r>
        <w:t xml:space="preserve">ним разрешенному кругу лиц,</w:t>
      </w:r>
      <w:r>
        <w:t xml:space="preserve"> </w:t>
      </w:r>
      <w:r>
        <w:t xml:space="preserve">при необходимости. </w:t>
      </w:r>
      <w:r/>
    </w:p>
    <w:p>
      <w:pPr>
        <w:contextualSpacing/>
        <w:ind w:left="0" w:firstLine="709"/>
        <w:spacing w:after="0" w:line="276" w:lineRule="auto"/>
      </w:pPr>
      <w:r>
        <w:t xml:space="preserve">10. </w:t>
      </w:r>
      <w:r>
        <w:t xml:space="preserve">Х</w:t>
      </w:r>
      <w:r>
        <w:t xml:space="preserve">ранение аудиозаписи, </w:t>
      </w:r>
      <w:r>
        <w:t xml:space="preserve">видеозаписи</w:t>
      </w:r>
      <w:r>
        <w:t xml:space="preserve"> </w:t>
      </w:r>
      <w:r>
        <w:t xml:space="preserve">осуществляется в </w:t>
      </w:r>
      <w:r>
        <w:t xml:space="preserve">ОО</w:t>
      </w:r>
      <w:r>
        <w:t xml:space="preserve"> не менее двух календарных лет.</w:t>
      </w:r>
      <w:r/>
    </w:p>
    <w:p>
      <w:pPr>
        <w:contextualSpacing/>
        <w:ind w:left="0" w:firstLine="709"/>
        <w:spacing w:after="0" w:line="276" w:lineRule="auto"/>
      </w:pPr>
      <w:r>
        <w:t xml:space="preserve">11. </w:t>
      </w:r>
      <w:r>
        <w:t xml:space="preserve">ОО</w:t>
      </w:r>
      <w:bookmarkStart w:id="0" w:name="_GoBack"/>
      <w:r/>
      <w:bookmarkEnd w:id="0"/>
      <w:r>
        <w:t xml:space="preserve"> обеспечивает доступ к аудиозаписи, видеозаписи, </w:t>
      </w:r>
      <w:r>
        <w:t xml:space="preserve">в </w:t>
      </w:r>
      <w:r>
        <w:t xml:space="preserve">случае </w:t>
      </w:r>
      <w:r>
        <w:t xml:space="preserve">обращени</w:t>
      </w:r>
      <w:r>
        <w:t xml:space="preserve">я</w:t>
      </w:r>
      <w:r>
        <w:t xml:space="preserve"> </w:t>
      </w:r>
      <w:r>
        <w:t xml:space="preserve">иностранного </w:t>
      </w:r>
      <w:r>
        <w:t xml:space="preserve">граждан</w:t>
      </w:r>
      <w:r>
        <w:t xml:space="preserve">ина </w:t>
      </w:r>
      <w:r>
        <w:rPr>
          <w:szCs w:val="28"/>
        </w:rPr>
        <w:t xml:space="preserve">или родителей (законных представителей) иностранного гражданина </w:t>
      </w:r>
      <w:r>
        <w:t xml:space="preserve">в </w:t>
      </w:r>
      <w:r>
        <w:t xml:space="preserve">Апелляционную комиссию </w:t>
      </w:r>
      <w:r>
        <w:t xml:space="preserve">по вопросу </w:t>
      </w:r>
      <w:r>
        <w:t xml:space="preserve">нарушения </w:t>
      </w:r>
      <w:r>
        <w:rPr>
          <w:szCs w:val="28"/>
        </w:rPr>
        <w:t xml:space="preserve">порядка проведения в государственной или муниципальной общеобразовательной организации тестирования </w:t>
      </w:r>
      <w:r>
        <w:rPr>
          <w:szCs w:val="28"/>
        </w:rPr>
        <w:t xml:space="preserve">и (или) по вопросу </w:t>
      </w:r>
      <w:r>
        <w:t xml:space="preserve">несогласия с выставленными баллами при оценивании результатов тестирования</w:t>
      </w:r>
      <w:r>
        <w:t xml:space="preserve">,</w:t>
      </w:r>
      <w:r>
        <w:t xml:space="preserve"> </w:t>
      </w:r>
      <w:r>
        <w:t xml:space="preserve">по запросу секретаря Апелляционной комиссии.</w:t>
      </w:r>
      <w:r/>
    </w:p>
    <w:p>
      <w:pPr>
        <w:contextualSpacing/>
        <w:ind w:left="0" w:firstLine="709"/>
        <w:spacing w:after="0" w:line="276" w:lineRule="auto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221" w:right="844" w:bottom="1298" w:left="1702" w:header="751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160" w:line="259" w:lineRule="auto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160" w:line="259" w:lineRule="auto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160" w:line="259" w:lineRule="auto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59" w:lineRule="auto"/>
      <w:tabs>
        <w:tab w:val="center" w:pos="4677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59" w:lineRule="auto"/>
      <w:tabs>
        <w:tab w:val="center" w:pos="4677" w:leader="none"/>
      </w:tabs>
    </w:pPr>
    <w:r>
      <w:rPr>
        <w:rFonts w:ascii="Calibri" w:hAnsi="Calibri" w:eastAsia="Calibri" w:cs="Calibri"/>
        <w:sz w:val="22"/>
      </w:rPr>
      <w:t xml:space="preserve"> </w:t>
    </w:r>
    <w:r>
      <w:rPr>
        <w:rFonts w:ascii="Calibri" w:hAnsi="Calibri" w:eastAsia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59" w:lineRule="auto"/>
      <w:tabs>
        <w:tab w:val="center" w:pos="4677" w:leader="none"/>
      </w:tabs>
    </w:pPr>
    <w:r>
      <w:rPr>
        <w:rFonts w:ascii="Calibri" w:hAnsi="Calibri" w:eastAsia="Calibri" w:cs="Calibri"/>
        <w:sz w:val="22"/>
      </w:rPr>
      <w:t xml:space="preserve"> </w:t>
    </w:r>
    <w:r>
      <w:rPr>
        <w:rFonts w:ascii="Calibri" w:hAnsi="Calibri" w:eastAsia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3"/>
      <w:numFmt w:val="decimal"/>
      <w:lvlRestart w:val="0"/>
      <w:isLgl w:val="false"/>
      <w:suff w:val="tab"/>
      <w:lvlText w:val="%1.%2."/>
      <w:lvlJc w:val="left"/>
      <w:pPr>
        <w:ind w:left="2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1"/>
      <w:numFmt w:val="decimal"/>
      <w:lvlRestart w:val="0"/>
      <w:isLgl w:val="false"/>
      <w:suff w:val="tab"/>
      <w:lvlText w:val="%1.%2."/>
      <w:lvlJc w:val="left"/>
      <w:pPr>
        <w:ind w:left="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5"/>
      <w:numFmt w:val="decimal"/>
      <w:lvlRestart w:val="0"/>
      <w:isLgl w:val="false"/>
      <w:suff w:val="tab"/>
      <w:lvlText w:val="%1.%2."/>
      <w:lvlJc w:val="left"/>
      <w:pPr>
        <w:ind w:left="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1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4"/>
      <w:numFmt w:val="decimal"/>
      <w:isLgl w:val="false"/>
      <w:suff w:val="tab"/>
      <w:lvlText w:val="%1.%2"/>
      <w:lvlJc w:val="left"/>
      <w:pPr>
        <w:ind w:left="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1.%2.%3."/>
      <w:lvlJc w:val="left"/>
      <w:pPr>
        <w:ind w:left="9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isLgl w:val="false"/>
      <w:suff w:val="tab"/>
      <w:lvlText w:val="%1.%2."/>
      <w:lvlJc w:val="left"/>
      <w:pPr>
        <w:ind w:left="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6"/>
      <w:numFmt w:val="decimal"/>
      <w:isLgl w:val="false"/>
      <w:suff w:val="tab"/>
      <w:lvlText w:val="%1.%2"/>
      <w:lvlJc w:val="left"/>
      <w:pPr>
        <w:ind w:left="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1.%2.%3."/>
      <w:lvlJc w:val="left"/>
      <w:pPr>
        <w:ind w:left="9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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4"/>
      <w:numFmt w:val="decimal"/>
      <w:lvlRestart w:val="0"/>
      <w:isLgl w:val="false"/>
      <w:suff w:val="tab"/>
      <w:lvlText w:val="%1.%2."/>
      <w:lvlJc w:val="left"/>
      <w:pPr>
        <w:ind w:left="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5"/>
      <w:numFmt w:val="decimal"/>
      <w:lvlRestart w:val="0"/>
      <w:isLgl w:val="false"/>
      <w:suff w:val="tab"/>
      <w:lvlText w:val="%1.%2."/>
      <w:lvlJc w:val="left"/>
      <w:pPr>
        <w:ind w:left="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3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5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9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3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5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7"/>
      <w:numFmt w:val="decimal"/>
      <w:lvlRestart w:val="0"/>
      <w:isLgl w:val="false"/>
      <w:suff w:val="tab"/>
      <w:lvlText w:val="%1.%2.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7"/>
      <w:numFmt w:val="decimal"/>
      <w:lvlRestart w:val="0"/>
      <w:isLgl w:val="false"/>
      <w:suff w:val="tab"/>
      <w:lvlText w:val="%1.%2."/>
      <w:lvlJc w:val="left"/>
      <w:pPr>
        <w:ind w:left="4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5"/>
      <w:numFmt w:val="decimal"/>
      <w:isLgl w:val="false"/>
      <w:suff w:val="tab"/>
      <w:lvlText w:val="%1.%2"/>
      <w:lvlJc w:val="left"/>
      <w:pPr>
        <w:ind w:left="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1.%2.%3."/>
      <w:lvlJc w:val="left"/>
      <w:pPr>
        <w:ind w:left="9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8"/>
      <w:numFmt w:val="decimal"/>
      <w:lvlRestart w:val="0"/>
      <w:isLgl w:val="false"/>
      <w:suff w:val="tab"/>
      <w:lvlText w:val="%1.%2."/>
      <w:lvlJc w:val="left"/>
      <w:pPr>
        <w:ind w:left="4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5"/>
      <w:numFmt w:val="decimal"/>
      <w:lvlRestart w:val="0"/>
      <w:isLgl w:val="false"/>
      <w:suff w:val="tab"/>
      <w:lvlText w:val="%1.%2."/>
      <w:lvlJc w:val="left"/>
      <w:pPr>
        <w:ind w:left="11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9"/>
      <w:numFmt w:val="decimal"/>
      <w:isLgl w:val="false"/>
      <w:suff w:val="tab"/>
      <w:lvlText w:val="%1.%2"/>
      <w:lvlJc w:val="left"/>
      <w:pPr>
        <w:ind w:left="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1.%2.%3."/>
      <w:lvlJc w:val="left"/>
      <w:pPr>
        <w:ind w:left="4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2"/>
  </w:num>
  <w:num w:numId="2">
    <w:abstractNumId w:val="6"/>
  </w:num>
  <w:num w:numId="3">
    <w:abstractNumId w:val="16"/>
  </w:num>
  <w:num w:numId="4">
    <w:abstractNumId w:val="13"/>
  </w:num>
  <w:num w:numId="5">
    <w:abstractNumId w:val="30"/>
  </w:num>
  <w:num w:numId="6">
    <w:abstractNumId w:val="7"/>
  </w:num>
  <w:num w:numId="7">
    <w:abstractNumId w:val="9"/>
  </w:num>
  <w:num w:numId="8">
    <w:abstractNumId w:val="24"/>
  </w:num>
  <w:num w:numId="9">
    <w:abstractNumId w:val="4"/>
  </w:num>
  <w:num w:numId="10">
    <w:abstractNumId w:val="5"/>
  </w:num>
  <w:num w:numId="11">
    <w:abstractNumId w:val="19"/>
  </w:num>
  <w:num w:numId="12">
    <w:abstractNumId w:val="1"/>
  </w:num>
  <w:num w:numId="13">
    <w:abstractNumId w:val="12"/>
  </w:num>
  <w:num w:numId="14">
    <w:abstractNumId w:val="8"/>
  </w:num>
  <w:num w:numId="15">
    <w:abstractNumId w:val="18"/>
  </w:num>
  <w:num w:numId="16">
    <w:abstractNumId w:val="26"/>
  </w:num>
  <w:num w:numId="17">
    <w:abstractNumId w:val="31"/>
  </w:num>
  <w:num w:numId="18">
    <w:abstractNumId w:val="21"/>
  </w:num>
  <w:num w:numId="19">
    <w:abstractNumId w:val="27"/>
  </w:num>
  <w:num w:numId="20">
    <w:abstractNumId w:val="15"/>
  </w:num>
  <w:num w:numId="21">
    <w:abstractNumId w:val="25"/>
  </w:num>
  <w:num w:numId="22">
    <w:abstractNumId w:val="33"/>
  </w:num>
  <w:num w:numId="23">
    <w:abstractNumId w:val="23"/>
  </w:num>
  <w:num w:numId="24">
    <w:abstractNumId w:val="3"/>
  </w:num>
  <w:num w:numId="25">
    <w:abstractNumId w:val="2"/>
  </w:num>
  <w:num w:numId="26">
    <w:abstractNumId w:val="28"/>
  </w:num>
  <w:num w:numId="27">
    <w:abstractNumId w:val="32"/>
  </w:num>
  <w:num w:numId="28">
    <w:abstractNumId w:val="11"/>
  </w:num>
  <w:num w:numId="29">
    <w:abstractNumId w:val="17"/>
  </w:num>
  <w:num w:numId="30">
    <w:abstractNumId w:val="29"/>
  </w:num>
  <w:num w:numId="31">
    <w:abstractNumId w:val="10"/>
  </w:num>
  <w:num w:numId="32">
    <w:abstractNumId w:val="0"/>
  </w:num>
  <w:num w:numId="33">
    <w:abstractNumId w:val="20"/>
  </w:num>
  <w:num w:numId="34">
    <w:abstractNumId w:val="1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9">
    <w:name w:val="Heading 1 Char"/>
    <w:basedOn w:val="957"/>
    <w:link w:val="956"/>
    <w:uiPriority w:val="9"/>
    <w:rPr>
      <w:rFonts w:ascii="Arial" w:hAnsi="Arial" w:eastAsia="Arial" w:cs="Arial"/>
      <w:sz w:val="40"/>
      <w:szCs w:val="40"/>
    </w:rPr>
  </w:style>
  <w:style w:type="paragraph" w:styleId="780">
    <w:name w:val="Heading 2"/>
    <w:basedOn w:val="955"/>
    <w:next w:val="955"/>
    <w:link w:val="7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1">
    <w:name w:val="Heading 2 Char"/>
    <w:basedOn w:val="957"/>
    <w:link w:val="780"/>
    <w:uiPriority w:val="9"/>
    <w:rPr>
      <w:rFonts w:ascii="Arial" w:hAnsi="Arial" w:eastAsia="Arial" w:cs="Arial"/>
      <w:sz w:val="34"/>
    </w:rPr>
  </w:style>
  <w:style w:type="paragraph" w:styleId="782">
    <w:name w:val="Heading 3"/>
    <w:basedOn w:val="955"/>
    <w:next w:val="955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3">
    <w:name w:val="Heading 3 Char"/>
    <w:basedOn w:val="957"/>
    <w:link w:val="782"/>
    <w:uiPriority w:val="9"/>
    <w:rPr>
      <w:rFonts w:ascii="Arial" w:hAnsi="Arial" w:eastAsia="Arial" w:cs="Arial"/>
      <w:sz w:val="30"/>
      <w:szCs w:val="30"/>
    </w:rPr>
  </w:style>
  <w:style w:type="paragraph" w:styleId="784">
    <w:name w:val="Heading 4"/>
    <w:basedOn w:val="955"/>
    <w:next w:val="955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5">
    <w:name w:val="Heading 4 Char"/>
    <w:basedOn w:val="957"/>
    <w:link w:val="784"/>
    <w:uiPriority w:val="9"/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955"/>
    <w:next w:val="955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7">
    <w:name w:val="Heading 5 Char"/>
    <w:basedOn w:val="957"/>
    <w:link w:val="786"/>
    <w:uiPriority w:val="9"/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955"/>
    <w:next w:val="955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9">
    <w:name w:val="Heading 6 Char"/>
    <w:basedOn w:val="957"/>
    <w:link w:val="788"/>
    <w:uiPriority w:val="9"/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955"/>
    <w:next w:val="955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1">
    <w:name w:val="Heading 7 Char"/>
    <w:basedOn w:val="957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955"/>
    <w:next w:val="955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3">
    <w:name w:val="Heading 8 Char"/>
    <w:basedOn w:val="957"/>
    <w:link w:val="792"/>
    <w:uiPriority w:val="9"/>
    <w:rPr>
      <w:rFonts w:ascii="Arial" w:hAnsi="Arial" w:eastAsia="Arial" w:cs="Arial"/>
      <w:i/>
      <w:iCs/>
      <w:sz w:val="22"/>
      <w:szCs w:val="22"/>
    </w:rPr>
  </w:style>
  <w:style w:type="paragraph" w:styleId="794">
    <w:name w:val="Heading 9"/>
    <w:basedOn w:val="955"/>
    <w:next w:val="955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>
    <w:name w:val="Heading 9 Char"/>
    <w:basedOn w:val="957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No Spacing"/>
    <w:uiPriority w:val="1"/>
    <w:qFormat/>
    <w:pPr>
      <w:spacing w:before="0" w:after="0" w:line="240" w:lineRule="auto"/>
    </w:pPr>
  </w:style>
  <w:style w:type="paragraph" w:styleId="797">
    <w:name w:val="Title"/>
    <w:basedOn w:val="955"/>
    <w:next w:val="955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>
    <w:name w:val="Title Char"/>
    <w:basedOn w:val="957"/>
    <w:link w:val="797"/>
    <w:uiPriority w:val="10"/>
    <w:rPr>
      <w:sz w:val="48"/>
      <w:szCs w:val="48"/>
    </w:rPr>
  </w:style>
  <w:style w:type="paragraph" w:styleId="799">
    <w:name w:val="Subtitle"/>
    <w:basedOn w:val="955"/>
    <w:next w:val="955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>
    <w:name w:val="Subtitle Char"/>
    <w:basedOn w:val="957"/>
    <w:link w:val="799"/>
    <w:uiPriority w:val="11"/>
    <w:rPr>
      <w:sz w:val="24"/>
      <w:szCs w:val="24"/>
    </w:rPr>
  </w:style>
  <w:style w:type="paragraph" w:styleId="801">
    <w:name w:val="Quote"/>
    <w:basedOn w:val="955"/>
    <w:next w:val="955"/>
    <w:link w:val="802"/>
    <w:uiPriority w:val="29"/>
    <w:qFormat/>
    <w:pPr>
      <w:ind w:left="720" w:right="720"/>
    </w:pPr>
    <w:rPr>
      <w:i/>
    </w:rPr>
  </w:style>
  <w:style w:type="character" w:styleId="802">
    <w:name w:val="Quote Char"/>
    <w:link w:val="801"/>
    <w:uiPriority w:val="29"/>
    <w:rPr>
      <w:i/>
    </w:rPr>
  </w:style>
  <w:style w:type="paragraph" w:styleId="803">
    <w:name w:val="Intense Quote"/>
    <w:basedOn w:val="955"/>
    <w:next w:val="955"/>
    <w:link w:val="8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>
    <w:name w:val="Intense Quote Char"/>
    <w:link w:val="803"/>
    <w:uiPriority w:val="30"/>
    <w:rPr>
      <w:i/>
    </w:rPr>
  </w:style>
  <w:style w:type="paragraph" w:styleId="805">
    <w:name w:val="Header"/>
    <w:basedOn w:val="955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6">
    <w:name w:val="Header Char"/>
    <w:basedOn w:val="957"/>
    <w:link w:val="805"/>
    <w:uiPriority w:val="99"/>
  </w:style>
  <w:style w:type="paragraph" w:styleId="807">
    <w:name w:val="Footer"/>
    <w:basedOn w:val="955"/>
    <w:link w:val="8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Footer Char"/>
    <w:basedOn w:val="957"/>
    <w:link w:val="807"/>
    <w:uiPriority w:val="99"/>
  </w:style>
  <w:style w:type="paragraph" w:styleId="809">
    <w:name w:val="Caption"/>
    <w:basedOn w:val="955"/>
    <w:next w:val="9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Caption Char"/>
    <w:basedOn w:val="809"/>
    <w:link w:val="807"/>
    <w:uiPriority w:val="99"/>
  </w:style>
  <w:style w:type="table" w:styleId="811">
    <w:name w:val="Table Grid"/>
    <w:basedOn w:val="9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Table Grid Light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3">
    <w:name w:val="Grid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11">
    <w:name w:val="List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2">
    <w:name w:val="List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3">
    <w:name w:val="List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4">
    <w:name w:val="List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15">
    <w:name w:val="List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6">
    <w:name w:val="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18">
    <w:name w:val="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9">
    <w:name w:val="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0">
    <w:name w:val="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1">
    <w:name w:val="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22">
    <w:name w:val="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3">
    <w:name w:val="Bordered &amp; 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25">
    <w:name w:val="Bordered &amp; 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6">
    <w:name w:val="Bordered &amp; 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7">
    <w:name w:val="Bordered &amp; 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8">
    <w:name w:val="Bordered &amp; 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29">
    <w:name w:val="Bordered &amp; 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0">
    <w:name w:val="Bordered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 w:themeColor="hyperlink"/>
      <w:u w:val="single"/>
    </w:rPr>
  </w:style>
  <w:style w:type="paragraph" w:styleId="938">
    <w:name w:val="footnote text"/>
    <w:basedOn w:val="955"/>
    <w:link w:val="939"/>
    <w:uiPriority w:val="99"/>
    <w:semiHidden/>
    <w:unhideWhenUsed/>
    <w:pPr>
      <w:spacing w:after="40" w:line="240" w:lineRule="auto"/>
    </w:pPr>
    <w:rPr>
      <w:sz w:val="18"/>
    </w:rPr>
  </w:style>
  <w:style w:type="character" w:styleId="939">
    <w:name w:val="Footnote Text Char"/>
    <w:link w:val="938"/>
    <w:uiPriority w:val="99"/>
    <w:rPr>
      <w:sz w:val="18"/>
    </w:rPr>
  </w:style>
  <w:style w:type="character" w:styleId="940">
    <w:name w:val="footnote reference"/>
    <w:basedOn w:val="957"/>
    <w:uiPriority w:val="99"/>
    <w:unhideWhenUsed/>
    <w:rPr>
      <w:vertAlign w:val="superscript"/>
    </w:rPr>
  </w:style>
  <w:style w:type="paragraph" w:styleId="941">
    <w:name w:val="endnote text"/>
    <w:basedOn w:val="955"/>
    <w:link w:val="942"/>
    <w:uiPriority w:val="99"/>
    <w:semiHidden/>
    <w:unhideWhenUsed/>
    <w:pPr>
      <w:spacing w:after="0" w:line="240" w:lineRule="auto"/>
    </w:pPr>
    <w:rPr>
      <w:sz w:val="20"/>
    </w:rPr>
  </w:style>
  <w:style w:type="character" w:styleId="942">
    <w:name w:val="Endnote Text Char"/>
    <w:link w:val="941"/>
    <w:uiPriority w:val="99"/>
    <w:rPr>
      <w:sz w:val="20"/>
    </w:rPr>
  </w:style>
  <w:style w:type="character" w:styleId="943">
    <w:name w:val="endnote reference"/>
    <w:basedOn w:val="957"/>
    <w:uiPriority w:val="99"/>
    <w:semiHidden/>
    <w:unhideWhenUsed/>
    <w:rPr>
      <w:vertAlign w:val="superscript"/>
    </w:rPr>
  </w:style>
  <w:style w:type="paragraph" w:styleId="944">
    <w:name w:val="toc 1"/>
    <w:basedOn w:val="955"/>
    <w:next w:val="955"/>
    <w:uiPriority w:val="39"/>
    <w:unhideWhenUsed/>
    <w:pPr>
      <w:ind w:left="0" w:right="0" w:firstLine="0"/>
      <w:spacing w:after="57"/>
    </w:pPr>
  </w:style>
  <w:style w:type="paragraph" w:styleId="945">
    <w:name w:val="toc 2"/>
    <w:basedOn w:val="955"/>
    <w:next w:val="955"/>
    <w:uiPriority w:val="39"/>
    <w:unhideWhenUsed/>
    <w:pPr>
      <w:ind w:left="283" w:right="0" w:firstLine="0"/>
      <w:spacing w:after="57"/>
    </w:pPr>
  </w:style>
  <w:style w:type="paragraph" w:styleId="946">
    <w:name w:val="toc 3"/>
    <w:basedOn w:val="955"/>
    <w:next w:val="955"/>
    <w:uiPriority w:val="39"/>
    <w:unhideWhenUsed/>
    <w:pPr>
      <w:ind w:left="567" w:right="0" w:firstLine="0"/>
      <w:spacing w:after="57"/>
    </w:pPr>
  </w:style>
  <w:style w:type="paragraph" w:styleId="947">
    <w:name w:val="toc 4"/>
    <w:basedOn w:val="955"/>
    <w:next w:val="955"/>
    <w:uiPriority w:val="39"/>
    <w:unhideWhenUsed/>
    <w:pPr>
      <w:ind w:left="850" w:right="0" w:firstLine="0"/>
      <w:spacing w:after="57"/>
    </w:pPr>
  </w:style>
  <w:style w:type="paragraph" w:styleId="948">
    <w:name w:val="toc 5"/>
    <w:basedOn w:val="955"/>
    <w:next w:val="955"/>
    <w:uiPriority w:val="39"/>
    <w:unhideWhenUsed/>
    <w:pPr>
      <w:ind w:left="1134" w:right="0" w:firstLine="0"/>
      <w:spacing w:after="57"/>
    </w:pPr>
  </w:style>
  <w:style w:type="paragraph" w:styleId="949">
    <w:name w:val="toc 6"/>
    <w:basedOn w:val="955"/>
    <w:next w:val="955"/>
    <w:uiPriority w:val="39"/>
    <w:unhideWhenUsed/>
    <w:pPr>
      <w:ind w:left="1417" w:right="0" w:firstLine="0"/>
      <w:spacing w:after="57"/>
    </w:pPr>
  </w:style>
  <w:style w:type="paragraph" w:styleId="950">
    <w:name w:val="toc 7"/>
    <w:basedOn w:val="955"/>
    <w:next w:val="955"/>
    <w:uiPriority w:val="39"/>
    <w:unhideWhenUsed/>
    <w:pPr>
      <w:ind w:left="1701" w:right="0" w:firstLine="0"/>
      <w:spacing w:after="57"/>
    </w:pPr>
  </w:style>
  <w:style w:type="paragraph" w:styleId="951">
    <w:name w:val="toc 8"/>
    <w:basedOn w:val="955"/>
    <w:next w:val="955"/>
    <w:uiPriority w:val="39"/>
    <w:unhideWhenUsed/>
    <w:pPr>
      <w:ind w:left="1984" w:right="0" w:firstLine="0"/>
      <w:spacing w:after="57"/>
    </w:pPr>
  </w:style>
  <w:style w:type="paragraph" w:styleId="952">
    <w:name w:val="toc 9"/>
    <w:basedOn w:val="955"/>
    <w:next w:val="955"/>
    <w:uiPriority w:val="39"/>
    <w:unhideWhenUsed/>
    <w:pPr>
      <w:ind w:left="2268" w:right="0" w:firstLine="0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955"/>
    <w:next w:val="955"/>
    <w:uiPriority w:val="99"/>
    <w:unhideWhenUsed/>
    <w:pPr>
      <w:spacing w:after="0" w:afterAutospacing="0"/>
    </w:pPr>
  </w:style>
  <w:style w:type="paragraph" w:styleId="955" w:default="1">
    <w:name w:val="Normal"/>
    <w:qFormat/>
    <w:pPr>
      <w:ind w:left="135" w:firstLine="530"/>
      <w:jc w:val="both"/>
      <w:spacing w:after="14" w:line="387" w:lineRule="auto"/>
    </w:pPr>
    <w:rPr>
      <w:rFonts w:ascii="Times New Roman" w:hAnsi="Times New Roman" w:eastAsia="Times New Roman" w:cs="Times New Roman"/>
      <w:color w:val="000000"/>
      <w:sz w:val="28"/>
    </w:rPr>
  </w:style>
  <w:style w:type="paragraph" w:styleId="956">
    <w:name w:val="Heading 1"/>
    <w:next w:val="955"/>
    <w:link w:val="960"/>
    <w:uiPriority w:val="9"/>
    <w:qFormat/>
    <w:pPr>
      <w:ind w:left="144" w:hanging="10"/>
      <w:jc w:val="center"/>
      <w:keepLines/>
      <w:keepNext/>
      <w:spacing w:after="12" w:line="270" w:lineRule="auto"/>
      <w:outlineLvl w:val="0"/>
    </w:pPr>
    <w:rPr>
      <w:rFonts w:ascii="Times New Roman" w:hAnsi="Times New Roman" w:eastAsia="Times New Roman" w:cs="Times New Roman"/>
      <w:b/>
      <w:color w:val="000000"/>
      <w:sz w:val="28"/>
    </w:rPr>
  </w:style>
  <w:style w:type="character" w:styleId="957" w:default="1">
    <w:name w:val="Default Paragraph Font"/>
    <w:uiPriority w:val="1"/>
    <w:semiHidden/>
    <w:unhideWhenUsed/>
  </w:style>
  <w:style w:type="table" w:styleId="9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9" w:default="1">
    <w:name w:val="No List"/>
    <w:uiPriority w:val="99"/>
    <w:semiHidden/>
    <w:unhideWhenUsed/>
  </w:style>
  <w:style w:type="character" w:styleId="960" w:customStyle="1">
    <w:name w:val="Заголовок 1 Знак"/>
    <w:link w:val="956"/>
    <w:rPr>
      <w:rFonts w:ascii="Times New Roman" w:hAnsi="Times New Roman" w:eastAsia="Times New Roman" w:cs="Times New Roman"/>
      <w:b/>
      <w:color w:val="000000"/>
      <w:sz w:val="28"/>
    </w:rPr>
  </w:style>
  <w:style w:type="character" w:styleId="961" w:customStyle="1">
    <w:name w:val="Абзац списка Знак"/>
    <w:link w:val="962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962">
    <w:name w:val="List Paragraph"/>
    <w:basedOn w:val="955"/>
    <w:link w:val="961"/>
    <w:uiPriority w:val="99"/>
    <w:qFormat/>
    <w:pPr>
      <w:contextualSpacing/>
      <w:ind w:left="720" w:firstLine="0"/>
      <w:jc w:val="left"/>
      <w:spacing w:after="0" w:line="240" w:lineRule="auto"/>
    </w:pPr>
    <w:rPr>
      <w:color w:val="auto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IRO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Мещерякова</dc:creator>
  <cp:keywords/>
  <cp:revision>6</cp:revision>
  <dcterms:created xsi:type="dcterms:W3CDTF">2025-04-04T11:51:00Z</dcterms:created>
  <dcterms:modified xsi:type="dcterms:W3CDTF">2025-04-07T04:56:42Z</dcterms:modified>
</cp:coreProperties>
</file>