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firstLine="709"/>
        <w:jc w:val="right"/>
        <w:spacing w:after="2" w:line="240" w:lineRule="auto"/>
      </w:pPr>
      <w:r>
        <w:rPr>
          <w:b w:val="0"/>
          <w:bCs w:val="0"/>
          <w:sz w:val="24"/>
          <w:szCs w:val="24"/>
        </w:rPr>
        <w:t xml:space="preserve">приложение к письму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0" w:firstLine="709"/>
        <w:jc w:val="right"/>
        <w:spacing w:after="2" w:line="240" w:lineRule="auto"/>
      </w:pPr>
      <w:r>
        <w:rPr>
          <w:b w:val="0"/>
          <w:bCs w:val="0"/>
          <w:sz w:val="24"/>
          <w:szCs w:val="24"/>
          <w:highlight w:val="none"/>
        </w:rPr>
        <w:t xml:space="preserve">Департамента образования и науки</w:t>
      </w:r>
      <w:r>
        <w:rPr>
          <w:b w:val="0"/>
          <w:bCs w:val="0"/>
          <w:sz w:val="24"/>
          <w:szCs w:val="24"/>
          <w:highlight w:val="none"/>
        </w:rPr>
      </w:r>
      <w:r/>
    </w:p>
    <w:p>
      <w:pPr>
        <w:ind w:left="0" w:firstLine="709"/>
        <w:jc w:val="right"/>
        <w:spacing w:after="2" w:line="240" w:lineRule="auto"/>
        <w:rPr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Ханты-Мансийского автономного округа – Югры </w:t>
      </w:r>
      <w:r>
        <w:rPr>
          <w:b w:val="0"/>
          <w:bCs w:val="0"/>
          <w:sz w:val="24"/>
          <w:szCs w:val="24"/>
        </w:rPr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</w:r>
      <w:r/>
    </w:p>
    <w:p>
      <w:pPr>
        <w:ind w:left="0" w:firstLine="709"/>
        <w:jc w:val="center"/>
        <w:spacing w:after="2"/>
        <w:rPr>
          <w:b/>
        </w:rPr>
      </w:pPr>
      <w:r>
        <w:rPr>
          <w:b/>
        </w:rPr>
      </w:r>
      <w:r/>
    </w:p>
    <w:p>
      <w:pPr>
        <w:ind w:left="0" w:firstLine="709"/>
        <w:jc w:val="center"/>
        <w:spacing w:after="2"/>
        <w:rPr>
          <w:b/>
          <w:bCs/>
        </w:rPr>
      </w:pPr>
      <w:r>
        <w:rPr>
          <w:b/>
        </w:rPr>
        <w:t xml:space="preserve">Порядок </w:t>
      </w:r>
      <w:r/>
    </w:p>
    <w:p>
      <w:pPr>
        <w:ind w:left="0" w:firstLine="709"/>
        <w:jc w:val="center"/>
        <w:spacing w:after="2"/>
        <w:rPr>
          <w:b/>
          <w:bCs/>
        </w:rPr>
      </w:pPr>
      <w:r>
        <w:rPr>
          <w:b/>
        </w:rPr>
        <w:t xml:space="preserve">по обеспечению диагностическими материалами</w:t>
      </w:r>
      <w:r/>
    </w:p>
    <w:p>
      <w:pPr>
        <w:ind w:left="0" w:firstLine="709"/>
        <w:jc w:val="center"/>
        <w:spacing w:after="2"/>
        <w:rPr>
          <w:b/>
          <w:bCs/>
        </w:rPr>
      </w:pPr>
      <w:r>
        <w:rPr>
          <w:b/>
        </w:rPr>
        <w:t xml:space="preserve"> пунктов прохождения тестирования при проведении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(или) лиц без гражданства </w:t>
      </w:r>
      <w:r/>
    </w:p>
    <w:p>
      <w:pPr>
        <w:ind w:left="0" w:firstLine="709"/>
        <w:jc w:val="left"/>
        <w:spacing w:after="450" w:line="259" w:lineRule="auto"/>
      </w:pPr>
      <w:r>
        <w:t xml:space="preserve"> 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7"/>
        <w:jc w:val="center"/>
      </w:pPr>
      <w:r>
        <w:t xml:space="preserve">г. Ханты-Мансийск</w:t>
      </w:r>
      <w:r/>
    </w:p>
    <w:p>
      <w:pPr>
        <w:contextualSpacing/>
        <w:ind w:left="0" w:firstLine="709"/>
        <w:spacing w:after="0" w:line="276" w:lineRule="auto"/>
      </w:pPr>
      <w:r>
        <w:t xml:space="preserve">1. В настоящем документе используются следующие термины и определения: </w:t>
      </w:r>
      <w:r/>
    </w:p>
    <w:p>
      <w:pPr>
        <w:contextualSpacing/>
        <w:ind w:left="0" w:firstLine="709"/>
        <w:spacing w:after="0" w:line="276" w:lineRule="auto"/>
      </w:pPr>
      <w:r>
        <w:t xml:space="preserve">Пункт прохождения тестирования (ППТ) </w:t>
      </w:r>
      <w:r>
        <w:rPr>
          <w:szCs w:val="28"/>
        </w:rPr>
        <w:t xml:space="preserve">– </w:t>
      </w:r>
      <w:r>
        <w:t xml:space="preserve">общеобразовательная организация, утвержденная в качестве ППТ для проведения тестирования </w:t>
      </w:r>
      <w:r>
        <w:rPr>
          <w:szCs w:val="28"/>
        </w:rPr>
        <w:t xml:space="preserve">иностран</w:t>
      </w:r>
      <w:r>
        <w:rPr>
          <w:szCs w:val="28"/>
          <w:lang w:eastAsia="en-US" w:bidi="en-US"/>
        </w:rPr>
        <w:t xml:space="preserve">ных граждан и(или) лиц без гражданства 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szCs w:val="28"/>
        </w:rPr>
        <w:t xml:space="preserve"> (далее соответственно – иностранные граждане, тестирование), </w:t>
      </w:r>
      <w:r>
        <w:t xml:space="preserve">приказом Депа</w:t>
      </w:r>
      <w:r>
        <w:t xml:space="preserve">ртамента образования и науки Ханты-Мансийского автономного округа – Югры (</w:t>
      </w:r>
      <w:r>
        <w:t xml:space="preserve">Депобразования</w:t>
      </w:r>
      <w:r>
        <w:t xml:space="preserve"> и науки Югры);</w:t>
      </w:r>
      <w:r/>
    </w:p>
    <w:p>
      <w:pPr>
        <w:contextualSpacing/>
        <w:ind w:left="0" w:firstLine="709"/>
        <w:spacing w:after="0" w:line="276" w:lineRule="auto"/>
      </w:pPr>
      <w:r>
        <w:t xml:space="preserve">РЦОИ – региональный центр обработки информации – автономное учреждение дополнительного профессионального образования Ханты-Мансийского автономного округ</w:t>
      </w:r>
      <w:r>
        <w:t xml:space="preserve">а – Югры «Институт развития образования»;</w:t>
      </w:r>
      <w:r/>
    </w:p>
    <w:p>
      <w:pPr>
        <w:contextualSpacing/>
        <w:ind w:left="0" w:firstLine="709"/>
        <w:spacing w:after="0" w:line="276" w:lineRule="auto"/>
      </w:pPr>
      <w:r>
        <w:t xml:space="preserve">ОМСУ</w:t>
      </w:r>
      <w:r>
        <w:t xml:space="preserve"> –</w:t>
      </w:r>
      <w:r>
        <w:t xml:space="preserve"> </w:t>
      </w:r>
      <w:r>
        <w:t xml:space="preserve">о</w:t>
      </w:r>
      <w:r>
        <w:t xml:space="preserve">рган местного самоуправления, осуществляющий управление в сфере образования; </w:t>
      </w:r>
      <w:r/>
    </w:p>
    <w:p>
      <w:pPr>
        <w:contextualSpacing/>
        <w:ind w:left="0" w:firstLine="709"/>
        <w:spacing w:after="0" w:line="276" w:lineRule="auto"/>
      </w:pPr>
      <w:r>
        <w:t xml:space="preserve">ОО </w:t>
      </w:r>
      <w:r>
        <w:t xml:space="preserve">–</w:t>
      </w:r>
      <w:r>
        <w:t xml:space="preserve"> </w:t>
      </w:r>
      <w:r>
        <w:t xml:space="preserve">общеобразовательная организация, на базе которой создан ППТ иностранных граждан (тестирующая организация);</w:t>
      </w:r>
      <w:r/>
    </w:p>
    <w:p>
      <w:pPr>
        <w:contextualSpacing/>
        <w:ind w:left="0" w:firstLine="709"/>
        <w:spacing w:after="0" w:line="276" w:lineRule="auto"/>
      </w:pPr>
      <w:r>
        <w:t xml:space="preserve">Технический специ</w:t>
      </w:r>
      <w:r>
        <w:t xml:space="preserve">алист – лицо, которое назначается руководителем общеобразовательной организации, на базе которой функционирует ППТ, отвечает за техническое обеспечение проведения тестирования иностранных граждан; </w:t>
      </w:r>
      <w:r/>
    </w:p>
    <w:p>
      <w:pPr>
        <w:contextualSpacing/>
        <w:ind w:left="0" w:firstLine="709"/>
        <w:spacing w:after="0" w:line="276" w:lineRule="auto"/>
      </w:pPr>
      <w:r>
        <w:t xml:space="preserve">Комплект ДМ – вариант диагностических материалов для прове</w:t>
      </w:r>
      <w:r>
        <w:t xml:space="preserve">дения тестирования иностранных граждан (к</w:t>
      </w:r>
      <w:r>
        <w:rPr>
          <w:szCs w:val="28"/>
        </w:rPr>
        <w:t xml:space="preserve">аждый вариант ДМ для проведения тестирования включает в себя комплект материалов для проведения тестирования: рекомендуемый регламент проведения тестирования; инструкции для члена комиссии по проведению тестирования</w:t>
      </w:r>
      <w:r>
        <w:rPr>
          <w:szCs w:val="28"/>
        </w:rPr>
        <w:t xml:space="preserve">, проводящего устную (письменную) часть тестирования, карточки для члена комиссии по тестированию, проводящего устную (письменную) часть тестирования; карточки для иностранного гражданина, сдающего устную (письменную) часть тестирования; критерии оценивани</w:t>
      </w:r>
      <w:r>
        <w:rPr>
          <w:szCs w:val="28"/>
        </w:rPr>
        <w:t xml:space="preserve">я выполнения заданий устной и письменной части тестирования; протоколы оценивания ответов иностранного гражданина).</w:t>
      </w:r>
      <w:r/>
    </w:p>
    <w:p>
      <w:pPr>
        <w:contextualSpacing/>
        <w:ind w:left="0" w:firstLine="709"/>
        <w:spacing w:after="0" w:line="276" w:lineRule="auto"/>
      </w:pPr>
      <w:r>
        <w:t xml:space="preserve">2.  Передача комплектов </w:t>
      </w:r>
      <w:r>
        <w:rPr>
          <w:szCs w:val="28"/>
        </w:rPr>
        <w:t xml:space="preserve">ДМ осуществляется </w:t>
      </w:r>
      <w:r>
        <w:t xml:space="preserve">Федеральной службой по надзору в сфере образования и науки (Рособрнадзор) </w:t>
      </w:r>
      <w:r>
        <w:rPr>
          <w:szCs w:val="28"/>
        </w:rPr>
        <w:t xml:space="preserve">с использованием средств</w:t>
      </w:r>
      <w:r>
        <w:rPr>
          <w:szCs w:val="28"/>
        </w:rPr>
        <w:t xml:space="preserve"> защиты информации</w:t>
      </w:r>
      <w:r>
        <w:rPr>
          <w:szCs w:val="28"/>
        </w:rPr>
        <w:t xml:space="preserve"> (технологический портал по подготовке и проведению единого государственного экзамена – </w:t>
      </w:r>
      <w:r>
        <w:rPr>
          <w:szCs w:val="28"/>
          <w:lang w:val="en-US"/>
        </w:rPr>
        <w:t xml:space="preserve">http</w:t>
      </w:r>
      <w:r>
        <w:rPr>
          <w:szCs w:val="28"/>
        </w:rPr>
        <w:t xml:space="preserve">://10.0.6.21) в РЦОИ</w:t>
      </w:r>
      <w:r>
        <w:t xml:space="preserve"> для их дальнейшей передачи в ППТ</w:t>
      </w:r>
      <w:r>
        <w:rPr>
          <w:szCs w:val="28"/>
        </w:rPr>
        <w:t xml:space="preserve">. Передача комплектов ДМ в </w:t>
      </w:r>
      <w:r>
        <w:rPr>
          <w:szCs w:val="28"/>
        </w:rPr>
        <w:t xml:space="preserve">регион осуществляется до 5 числа месяца, следующего за получением </w:t>
      </w:r>
      <w:r>
        <w:rPr>
          <w:szCs w:val="28"/>
        </w:rPr>
        <w:t xml:space="preserve">соответствующей заявки от </w:t>
      </w:r>
      <w:r>
        <w:t xml:space="preserve">Депобразования</w:t>
      </w:r>
      <w:r>
        <w:t xml:space="preserve"> и науки Югры. </w:t>
      </w:r>
      <w:r/>
    </w:p>
    <w:p>
      <w:pPr>
        <w:contextualSpacing/>
        <w:ind w:left="0" w:firstLine="709"/>
        <w:spacing w:after="0" w:line="276" w:lineRule="auto"/>
      </w:pPr>
      <w:r>
        <w:t xml:space="preserve">РЦОИ</w:t>
      </w:r>
      <w:r>
        <w:rPr>
          <w:szCs w:val="28"/>
        </w:rPr>
        <w:t xml:space="preserve"> направляет заявки в Рособрнадзор по каждому классу до 25 числа ежемесячно.  </w:t>
      </w:r>
      <w:r/>
    </w:p>
    <w:p>
      <w:pPr>
        <w:contextualSpacing/>
        <w:ind w:left="0" w:firstLine="709"/>
        <w:spacing w:after="0" w:line="276" w:lineRule="auto"/>
        <w:rPr>
          <w:color w:val="auto"/>
        </w:rPr>
      </w:pPr>
      <w:r>
        <w:rPr>
          <w:szCs w:val="28"/>
        </w:rPr>
        <w:t xml:space="preserve">ОМСУ направляет заявки в РЦОИ по каждому классу до 20 числа ежемесячно</w:t>
      </w:r>
      <w:r>
        <w:rPr>
          <w:szCs w:val="28"/>
        </w:rPr>
        <w:t xml:space="preserve"> </w:t>
      </w:r>
      <w:r>
        <w:rPr>
          <w:color w:val="auto"/>
          <w:szCs w:val="28"/>
        </w:rPr>
        <w:t xml:space="preserve">(форма заявки прилагается)</w:t>
      </w:r>
      <w:r>
        <w:rPr>
          <w:color w:val="auto"/>
          <w:szCs w:val="28"/>
        </w:rPr>
        <w:t xml:space="preserve">. </w:t>
      </w:r>
      <w:r>
        <w:rPr>
          <w:color w:val="auto"/>
        </w:rPr>
      </w:r>
      <w:r/>
    </w:p>
    <w:p>
      <w:pPr>
        <w:contextualSpacing/>
        <w:ind w:left="0" w:firstLine="709"/>
        <w:spacing w:after="0" w:line="276" w:lineRule="auto"/>
        <w:tabs>
          <w:tab w:val="center" w:pos="4677" w:leader="none"/>
        </w:tabs>
        <w:rPr>
          <w:szCs w:val="28"/>
        </w:rPr>
      </w:pPr>
      <w:r>
        <w:rPr>
          <w:szCs w:val="28"/>
        </w:rPr>
        <w:t xml:space="preserve">3. Передача </w:t>
      </w:r>
      <w:r>
        <w:t xml:space="preserve">комплектов </w:t>
      </w:r>
      <w:r>
        <w:rPr>
          <w:szCs w:val="28"/>
        </w:rPr>
        <w:t xml:space="preserve">ДМ РЦОИ в ППТ осуществ</w:t>
      </w:r>
      <w:r>
        <w:rPr>
          <w:szCs w:val="28"/>
        </w:rPr>
        <w:t xml:space="preserve">ляется за один день до даты проведения тестирования</w:t>
      </w:r>
      <w:r>
        <w:rPr>
          <w:szCs w:val="28"/>
        </w:rPr>
        <w:tab/>
        <w:t xml:space="preserve"> согласно расписанию, установленному </w:t>
      </w:r>
      <w:r>
        <w:rPr>
          <w:szCs w:val="28"/>
        </w:rPr>
        <w:t xml:space="preserve">Депобразования</w:t>
      </w:r>
      <w:r>
        <w:rPr>
          <w:szCs w:val="28"/>
        </w:rPr>
        <w:t xml:space="preserve"> и науки Югры, с учетом заявок ОМСУ в адрес РЦОИ. При отсутствии в ППТ участников тестирования на установленную в регионе дату тестирования комплект ДМ в</w:t>
      </w:r>
      <w:r>
        <w:rPr>
          <w:szCs w:val="28"/>
        </w:rPr>
        <w:t xml:space="preserve"> ППТ не направляется.    </w:t>
      </w:r>
      <w:r/>
    </w:p>
    <w:p>
      <w:pPr>
        <w:contextualSpacing/>
        <w:ind w:left="0" w:firstLine="709"/>
        <w:spacing w:after="0" w:line="276" w:lineRule="auto"/>
        <w:tabs>
          <w:tab w:val="center" w:pos="4677" w:leader="none"/>
        </w:tabs>
      </w:pPr>
      <w:r>
        <w:rPr>
          <w:szCs w:val="28"/>
        </w:rPr>
        <w:t xml:space="preserve">4. Зашифрованные комплекты ДМ направляются ответственным лицом РЦОИ по защищенным каналам связи (FTP-сервер) в </w:t>
      </w:r>
      <w:r>
        <w:rPr>
          <w:szCs w:val="28"/>
        </w:rPr>
        <w:t xml:space="preserve">ППТ (ОМСУ, при технической невозможности получения комплектов ДМ в ППТ), с соблюдением требований конфиденциальности и</w:t>
      </w:r>
      <w:r>
        <w:rPr>
          <w:szCs w:val="28"/>
        </w:rPr>
        <w:t xml:space="preserve"> информационной безопасности, согласно организационно-технологической схеме. </w:t>
      </w:r>
      <w:r/>
    </w:p>
    <w:p>
      <w:pPr>
        <w:contextualSpacing/>
        <w:ind w:left="0" w:firstLine="709"/>
        <w:spacing w:after="0" w:line="276" w:lineRule="auto"/>
        <w:tabs>
          <w:tab w:val="center" w:pos="4677" w:leader="none"/>
        </w:tabs>
      </w:pPr>
      <w:r>
        <w:rPr>
          <w:szCs w:val="28"/>
        </w:rPr>
        <w:t xml:space="preserve">Организационно-технологическую схему формирует РЦОИ. </w:t>
      </w:r>
      <w:r/>
    </w:p>
    <w:p>
      <w:pPr>
        <w:contextualSpacing/>
        <w:ind w:left="0" w:firstLine="709"/>
        <w:spacing w:after="0" w:line="276" w:lineRule="auto"/>
      </w:pPr>
      <w:r>
        <w:rPr>
          <w:szCs w:val="28"/>
        </w:rPr>
        <w:t xml:space="preserve">5. Полученные в ППТ комплекты ДМ сохраняются на основно</w:t>
      </w:r>
      <w:r>
        <w:rPr>
          <w:szCs w:val="28"/>
        </w:rPr>
        <w:t xml:space="preserve">м и резервном </w:t>
      </w:r>
      <w:r>
        <w:rPr>
          <w:szCs w:val="28"/>
        </w:rPr>
        <w:t xml:space="preserve">флеш</w:t>
      </w:r>
      <w:r>
        <w:rPr>
          <w:szCs w:val="28"/>
        </w:rPr>
        <w:t xml:space="preserve">-носителе для дальнейшего тиражирования в день пров</w:t>
      </w:r>
      <w:r>
        <w:rPr>
          <w:szCs w:val="28"/>
        </w:rPr>
        <w:t xml:space="preserve">едения тестирования.</w:t>
      </w:r>
      <w:r>
        <w:t xml:space="preserve"> </w:t>
      </w:r>
      <w:r/>
    </w:p>
    <w:p>
      <w:pPr>
        <w:contextualSpacing/>
        <w:ind w:left="0" w:firstLine="709"/>
        <w:spacing w:after="0" w:line="276" w:lineRule="auto"/>
        <w:tabs>
          <w:tab w:val="center" w:pos="4677" w:leader="none"/>
        </w:tabs>
        <w:rPr>
          <w:szCs w:val="28"/>
        </w:rPr>
      </w:pPr>
      <w:r>
        <w:rPr>
          <w:szCs w:val="28"/>
        </w:rPr>
        <w:t xml:space="preserve">6. При получении комплектов ДМ в ОМСУ. Полученные комплекты ДМ ответственное лицо в ОМСУ в этот же день направляет в ППТ </w:t>
        <w:br/>
        <w:t xml:space="preserve">в зашифрованном виде по защищенным каналам связи, с соблюдением требований конфиденциальности и информационной </w:t>
      </w:r>
      <w:r>
        <w:rPr>
          <w:szCs w:val="28"/>
        </w:rPr>
        <w:t xml:space="preserve">безопасности.  </w:t>
      </w:r>
      <w:r/>
    </w:p>
    <w:p>
      <w:pPr>
        <w:contextualSpacing/>
        <w:ind w:left="0" w:firstLine="709"/>
        <w:spacing w:after="0" w:line="276" w:lineRule="auto"/>
        <w:tabs>
          <w:tab w:val="center" w:pos="4677" w:leader="none"/>
        </w:tabs>
        <w:rPr>
          <w:szCs w:val="28"/>
        </w:rPr>
      </w:pPr>
      <w:r>
        <w:rPr>
          <w:szCs w:val="28"/>
        </w:rPr>
        <w:t xml:space="preserve">7. Не ранее чем за 2 часа до начала</w:t>
      </w:r>
      <w:r>
        <w:rPr>
          <w:sz w:val="26"/>
          <w:szCs w:val="26"/>
        </w:rPr>
        <w:t xml:space="preserve"> </w:t>
      </w:r>
      <w:r>
        <w:rPr>
          <w:szCs w:val="28"/>
        </w:rPr>
        <w:t xml:space="preserve">проведения тестирования ответственное лицо РЦОИ направляет пароль расшифровки ответственному за прием комплектов ДМ с соблюдением требований конфиденциальности и информационной безопасности.      </w:t>
      </w:r>
      <w:r/>
    </w:p>
    <w:p>
      <w:pPr>
        <w:contextualSpacing/>
        <w:ind w:left="0" w:firstLine="709"/>
        <w:spacing w:after="0" w:line="276" w:lineRule="auto"/>
      </w:pPr>
      <w:r>
        <w:t xml:space="preserve">8. За п</w:t>
      </w:r>
      <w:r>
        <w:t xml:space="preserve">ринятие мер по обеспечению и</w:t>
      </w:r>
      <w:r>
        <w:t xml:space="preserve">нформационной безопасности, конфиденциальности при работе с ДМ, а также за процесс обеспечения ДМ в ППТ несет ответственность руководитель ОО.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9. Печать полученных электронных комплектов ДМ осуществляется в ППТ </w:t>
      </w:r>
      <w:r>
        <w:rPr>
          <w:color w:val="auto"/>
          <w:szCs w:val="28"/>
        </w:rPr>
        <w:t xml:space="preserve">с использованием цветных моделей </w:t>
      </w:r>
      <w:r>
        <w:rPr>
          <w:color w:val="auto"/>
          <w:szCs w:val="28"/>
        </w:rPr>
        <w:t xml:space="preserve">многофункциональных устройств</w:t>
      </w:r>
      <w:r>
        <w:rPr>
          <w:color w:val="auto"/>
          <w:szCs w:val="28"/>
        </w:rPr>
        <w:t xml:space="preserve"> </w:t>
      </w:r>
      <w:r>
        <w:rPr>
          <w:szCs w:val="28"/>
        </w:rPr>
        <w:t xml:space="preserve">в день проведени</w:t>
      </w:r>
      <w:r>
        <w:rPr>
          <w:szCs w:val="28"/>
        </w:rPr>
        <w:t xml:space="preserve">я тестирования техническим специалистом в присутствии членов Комиссии по тестированию</w:t>
      </w:r>
      <w:r>
        <w:rPr>
          <w:szCs w:val="28"/>
        </w:rPr>
        <w:t xml:space="preserve">.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Тиражирование комплектов ДМ осуществляется отдельно по каждому году обучения (за исключением письменной части тестирования для проведения тестирования для определения у</w:t>
      </w:r>
      <w:r>
        <w:rPr>
          <w:szCs w:val="28"/>
        </w:rPr>
        <w:t xml:space="preserve">ровня знаний русского языка, достаточного для освоения образовательных программ 1 класса):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инструкция для члена Комиссии по тестированию, проводящего устную часть тестирования, – по 2 экземпляра (один основной и один резервный </w:t>
      </w:r>
      <w:r>
        <w:rPr>
          <w:szCs w:val="28"/>
        </w:rPr>
        <w:t xml:space="preserve">экземпляр) на каждого провод</w:t>
      </w:r>
      <w:r>
        <w:rPr>
          <w:szCs w:val="28"/>
        </w:rPr>
        <w:t xml:space="preserve">ящего устную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рекомендуемый регламент проведения тестирования – по 1 экземпляру на каждого проводящего устную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карточку для члена Комиссии по тестированию, провод</w:t>
      </w:r>
      <w:r>
        <w:rPr>
          <w:szCs w:val="28"/>
        </w:rPr>
        <w:t xml:space="preserve">ящего устную часть тестирования, – по 2 экземпляра (один основной и один резервный экземпляр) на каждого проводящего устную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  <w:t xml:space="preserve">карточку для иностранного гражданина, сдающего устную часть тестирования, – по 2 экз</w:t>
      </w:r>
      <w:r>
        <w:rPr>
          <w:szCs w:val="28"/>
        </w:rPr>
        <w:t xml:space="preserve">емпляра (один основной и один резервный экземпляр) на каждого проводящего устную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инструкцию для члена комиссии по тестированию, проводящего письменную часть тестирования, – по 2 экземпляра (один основной и один резервный экземпляр) на каждого проводящего письменную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рекомендуемый регламент</w:t>
      </w:r>
      <w:r>
        <w:rPr>
          <w:color w:val="auto"/>
          <w:szCs w:val="28"/>
        </w:rPr>
        <w:t xml:space="preserve"> проведения тестирования – по 1 экземпляру на каждого проводящего письменную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карточку для члена комиссии по проведению тестирования, проводящего письменную часть тестирования, – по 2 экземпляра (один основной и один резервный экземпляр) на каждого проводящего письменную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карточку для и</w:t>
      </w:r>
      <w:r>
        <w:rPr>
          <w:color w:val="auto"/>
          <w:szCs w:val="28"/>
        </w:rPr>
        <w:t xml:space="preserve">ностранного гражданина, сдающего письменную часть тестирования, – по 1 экземпляру на каждого иностранного гражданина, сдающего письменную часть тестирования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критерии оценивания выполнения заданий устной и письменной части тести</w:t>
      </w:r>
      <w:r>
        <w:rPr>
          <w:color w:val="auto"/>
          <w:szCs w:val="28"/>
        </w:rPr>
        <w:t xml:space="preserve">рования – по 1 экземпляру на каждого члена комиссии, осуществляющего оценивание ответов иностранных граждан, проходящих тестирование в данный день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протоколы оценивания выполнения заданий устной части тестирования – по 1 экземпляру на каждого</w:t>
      </w:r>
      <w:r>
        <w:rPr>
          <w:color w:val="auto"/>
          <w:szCs w:val="28"/>
        </w:rPr>
        <w:t xml:space="preserve"> иностранного гражданина, сдающего устную часть тестирования; </w:t>
      </w:r>
      <w:r/>
    </w:p>
    <w:p>
      <w:pPr>
        <w:contextualSpacing/>
        <w:ind w:left="0" w:firstLine="709"/>
        <w:spacing w:after="0" w:line="276" w:lineRule="auto"/>
        <w:rPr>
          <w:color w:val="auto"/>
          <w:szCs w:val="28"/>
        </w:rPr>
      </w:pPr>
      <w:r>
        <w:rPr>
          <w:color w:val="auto"/>
          <w:szCs w:val="28"/>
        </w:rPr>
        <w:t xml:space="preserve">протоколы оценивания выполнения заданий письменной части тестирования – по 1 экземпляру на каждого иностранного гражданина, сдающего письменную часть тестирования. </w:t>
      </w:r>
      <w:r/>
    </w:p>
    <w:p>
      <w:pPr>
        <w:contextualSpacing/>
        <w:ind w:left="0" w:firstLine="709"/>
        <w:spacing w:after="0" w:line="276" w:lineRule="auto"/>
        <w:rPr>
          <w:color w:val="auto"/>
        </w:rPr>
      </w:pPr>
      <w:r>
        <w:rPr>
          <w:color w:val="auto"/>
        </w:rPr>
        <w:t xml:space="preserve">Технический специалист проводит проверку</w:t>
      </w:r>
      <w:r>
        <w:rPr>
          <w:color w:val="auto"/>
        </w:rPr>
        <w:t xml:space="preserve"> комплектности ДМ и</w:t>
      </w:r>
      <w:r>
        <w:rPr>
          <w:color w:val="auto"/>
        </w:rPr>
        <w:t xml:space="preserve"> качества распечатанных комплектов ДМ на соответствие следующих требований к качеству печати ДМ: </w:t>
      </w:r>
      <w:r>
        <w:rPr>
          <w:color w:val="auto"/>
        </w:rPr>
      </w:r>
      <w:r/>
    </w:p>
    <w:p>
      <w:pPr>
        <w:contextualSpacing/>
        <w:ind w:left="0" w:firstLine="709"/>
        <w:spacing w:after="0" w:line="276" w:lineRule="auto"/>
        <w:rPr>
          <w:color w:val="auto"/>
        </w:rPr>
      </w:pPr>
      <w:r>
        <w:rPr>
          <w:color w:val="auto"/>
        </w:rPr>
        <w:t xml:space="preserve">- равномерность печати: ДМ напечатан равномерно, без белых или темных полос по листу; </w:t>
      </w:r>
      <w:r>
        <w:rPr>
          <w:color w:val="auto"/>
        </w:rPr>
      </w:r>
      <w:r/>
    </w:p>
    <w:p>
      <w:pPr>
        <w:contextualSpacing/>
        <w:ind w:left="0" w:firstLine="709"/>
        <w:spacing w:after="0" w:line="276" w:lineRule="auto"/>
        <w:rPr>
          <w:color w:val="auto"/>
        </w:rPr>
      </w:pPr>
      <w:r>
        <w:rPr>
          <w:color w:val="auto"/>
        </w:rPr>
        <w:t xml:space="preserve">- читаемость текста и рисунков: рисунки и схемы хорошо читаемы и четко распечатаны в цветном формате; </w:t>
      </w:r>
      <w:r>
        <w:rPr>
          <w:color w:val="auto"/>
        </w:rPr>
      </w:r>
      <w:r/>
    </w:p>
    <w:p>
      <w:pPr>
        <w:contextualSpacing/>
        <w:ind w:left="0" w:firstLine="709"/>
        <w:spacing w:after="0" w:line="276" w:lineRule="auto"/>
        <w:rPr>
          <w:bCs/>
          <w:color w:val="auto"/>
        </w:rPr>
      </w:pPr>
      <w:r>
        <w:rPr>
          <w:bCs/>
          <w:color w:val="auto"/>
        </w:rPr>
        <w:t xml:space="preserve">- о</w:t>
      </w:r>
      <w:r>
        <w:rPr>
          <w:bCs/>
          <w:color w:val="auto"/>
        </w:rPr>
        <w:t xml:space="preserve">тсутствие «перекосов» изображений</w:t>
      </w:r>
      <w:r>
        <w:rPr>
          <w:bCs/>
          <w:color w:val="auto"/>
        </w:rPr>
        <w:t xml:space="preserve">. </w:t>
      </w:r>
      <w:r>
        <w:rPr>
          <w:color w:val="auto"/>
        </w:rPr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color w:val="auto"/>
          <w:szCs w:val="28"/>
        </w:rPr>
        <w:t xml:space="preserve">При необходимости распечатка</w:t>
      </w:r>
      <w:r>
        <w:rPr>
          <w:color w:val="auto"/>
          <w:szCs w:val="28"/>
        </w:rPr>
        <w:t xml:space="preserve"> отдельных форм может быть осуществлена дополнительно.</w:t>
      </w:r>
      <w:r/>
    </w:p>
    <w:p>
      <w:pPr>
        <w:contextualSpacing/>
        <w:ind w:left="0" w:firstLine="709"/>
        <w:spacing w:after="0" w:line="276" w:lineRule="auto"/>
        <w:rPr>
          <w:szCs w:val="28"/>
        </w:rPr>
      </w:pPr>
      <w:r>
        <w:rPr>
          <w:szCs w:val="28"/>
        </w:rPr>
      </w:r>
      <w:r/>
    </w:p>
    <w:p>
      <w:pPr>
        <w:ind w:left="0" w:firstLine="0"/>
        <w:jc w:val="center"/>
        <w:spacing w:after="0" w:line="240" w:lineRule="auto"/>
        <w:rPr>
          <w:color w:val="4472c4" w:themeColor="accent1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bookmarkStart w:id="0" w:name="_Hlk194918430"/>
      <w:r/>
      <w:r/>
    </w:p>
    <w:tbl>
      <w:tblPr>
        <w:tblW w:w="14778" w:type="dxa"/>
        <w:tblLook w:val="04A0" w:firstRow="1" w:lastRow="0" w:firstColumn="1" w:lastColumn="0" w:noHBand="0" w:noVBand="1"/>
      </w:tblPr>
      <w:tblGrid>
        <w:gridCol w:w="1852"/>
        <w:gridCol w:w="1143"/>
        <w:gridCol w:w="1024"/>
        <w:gridCol w:w="993"/>
        <w:gridCol w:w="948"/>
        <w:gridCol w:w="1037"/>
        <w:gridCol w:w="1037"/>
        <w:gridCol w:w="1037"/>
        <w:gridCol w:w="1037"/>
        <w:gridCol w:w="1037"/>
        <w:gridCol w:w="1102"/>
        <w:gridCol w:w="1225"/>
        <w:gridCol w:w="1749"/>
        <w:gridCol w:w="6"/>
      </w:tblGrid>
      <w:tr>
        <w:trPr>
          <w:trHeight w:val="261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35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color w:val="4472c4" w:themeColor="accent1"/>
                <w:szCs w:val="28"/>
              </w:rPr>
            </w:pPr>
            <w:r>
              <w:rPr>
                <w:color w:val="4472c4" w:themeColor="accent1"/>
                <w:szCs w:val="28"/>
              </w:rPr>
            </w:r>
            <w:r/>
          </w:p>
        </w:tc>
        <w:tc>
          <w:tcPr>
            <w:gridSpan w:val="13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543" w:type="dxa"/>
            <w:vAlign w:val="bottom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color w:val="4472c4" w:themeColor="accent1"/>
                <w:szCs w:val="28"/>
              </w:rPr>
            </w:pPr>
            <w:r>
              <w:rPr>
                <w:color w:val="4472c4" w:themeColor="accent1"/>
                <w:szCs w:val="28"/>
              </w:rPr>
            </w:r>
            <w:r/>
          </w:p>
          <w:p>
            <w:pPr>
              <w:ind w:left="0" w:firstLine="0"/>
              <w:jc w:val="right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Форма заявки для получения ДМ</w:t>
            </w:r>
            <w:r>
              <w:rPr>
                <w:color w:val="auto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</w:r>
            <w:r>
              <w:rPr>
                <w:color w:val="auto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Планируемое количество</w:t>
            </w:r>
            <w:r>
              <w:rPr>
                <w:color w:val="auto"/>
                <w:szCs w:val="28"/>
              </w:rPr>
              <w:t xml:space="preserve"> иностранных граждан и лиц без гражданства</w:t>
            </w:r>
            <w:r>
              <w:rPr>
                <w:color w:val="auto"/>
                <w:szCs w:val="28"/>
              </w:rPr>
              <w:t xml:space="preserve"> для </w:t>
            </w:r>
            <w:r>
              <w:rPr>
                <w:color w:val="auto"/>
                <w:szCs w:val="28"/>
              </w:rPr>
              <w:t xml:space="preserve">участи</w:t>
            </w:r>
            <w:r>
              <w:rPr>
                <w:color w:val="auto"/>
                <w:szCs w:val="28"/>
              </w:rPr>
              <w:t xml:space="preserve">я </w:t>
            </w:r>
            <w:r>
              <w:rPr>
                <w:color w:val="auto"/>
                <w:szCs w:val="28"/>
              </w:rPr>
              <w:t xml:space="preserve">в </w:t>
            </w:r>
            <w:r>
              <w:rPr>
                <w:color w:val="auto"/>
                <w:szCs w:val="28"/>
              </w:rPr>
              <w:t xml:space="preserve">тестировани</w:t>
            </w:r>
            <w:r>
              <w:rPr>
                <w:color w:val="auto"/>
                <w:szCs w:val="28"/>
              </w:rPr>
              <w:t xml:space="preserve">и</w:t>
            </w:r>
            <w:r>
              <w:rPr>
                <w:color w:val="auto"/>
                <w:szCs w:val="28"/>
              </w:rPr>
      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в ППТ </w:t>
            </w:r>
            <w:r>
              <w:rPr>
                <w:color w:val="auto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_____________ 2025 год</w:t>
            </w:r>
            <w:r>
              <w:rPr>
                <w:color w:val="auto"/>
              </w:rPr>
            </w:r>
            <w:r/>
          </w:p>
          <w:p>
            <w:pPr>
              <w:ind w:left="0" w:firstLine="0"/>
              <w:spacing w:after="0" w:line="240" w:lineRule="auto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                                                                            (месяц)</w:t>
            </w:r>
            <w:r>
              <w:rPr>
                <w:color w:val="auto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color w:val="auto"/>
                <w:sz w:val="22"/>
              </w:rPr>
            </w:pPr>
            <w:r>
              <w:rPr>
                <w:color w:val="auto"/>
              </w:rPr>
            </w:r>
            <w:bookmarkStart w:id="1" w:name="_GoBack"/>
            <w:r>
              <w:rPr>
                <w:color w:val="auto"/>
              </w:rPr>
            </w:r>
            <w:bookmarkEnd w:id="1"/>
            <w:r>
              <w:rPr>
                <w:color w:val="auto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</w:tr>
      <w:tr>
        <w:trPr>
          <w:trHeight w:val="1087"/>
        </w:trPr>
        <w:tc>
          <w:tcPr>
            <w:shd w:val="clear" w:color="fcd5b4" w:fill="fcd5b4"/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1235" w:type="dxa"/>
            <w:vAlign w:val="center"/>
            <w:vMerge w:val="restart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Муниципальное образование</w:t>
            </w:r>
            <w:r/>
          </w:p>
        </w:tc>
        <w:tc>
          <w:tcPr>
            <w:gridSpan w:val="11"/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631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П</w:t>
            </w:r>
            <w:r>
              <w:rPr>
                <w:b/>
                <w:bCs/>
                <w:sz w:val="22"/>
              </w:rPr>
              <w:t xml:space="preserve">ланируемое количество иностранных граждан</w:t>
            </w:r>
            <w:r>
              <w:rPr>
                <w:b/>
                <w:bCs/>
                <w:sz w:val="22"/>
              </w:rPr>
              <w:t xml:space="preserve"> и лиц без гражданства</w:t>
            </w:r>
            <w:r>
              <w:rPr>
                <w:b/>
                <w:bCs/>
                <w:sz w:val="22"/>
              </w:rPr>
              <w:t xml:space="preserve">, которые будут проходить тестирование в соответствующем классе</w:t>
            </w:r>
            <w:r/>
          </w:p>
        </w:tc>
        <w:tc>
          <w:tcPr>
            <w:gridSpan w:val="2"/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К</w:t>
            </w:r>
            <w:r>
              <w:rPr>
                <w:b/>
                <w:bCs/>
                <w:sz w:val="22"/>
              </w:rPr>
              <w:t xml:space="preserve">онтактные данные лица, ответственного за получение </w:t>
            </w:r>
            <w:r>
              <w:rPr>
                <w:b/>
                <w:bCs/>
                <w:sz w:val="22"/>
              </w:rPr>
              <w:t xml:space="preserve">ДМ</w:t>
            </w:r>
            <w:r/>
          </w:p>
        </w:tc>
      </w:tr>
      <w:tr>
        <w:trPr>
          <w:gridAfter w:val="1"/>
          <w:trHeight w:val="1087"/>
        </w:trPr>
        <w:tc>
          <w:tcPr>
            <w:shd w:val="clear" w:color="fcd5b4" w:fill="fcd5b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vAlign w:val="bottom"/>
            <w:vMerge w:val="continue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2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3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4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4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5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6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7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8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37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9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2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10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25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11 класс</w:t>
            </w:r>
            <w:r/>
          </w:p>
        </w:tc>
        <w:tc>
          <w:tcPr>
            <w:shd w:val="clear" w:color="fcd5b4" w:fill="fcd5b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(ФИО, место работы, </w:t>
            </w:r>
            <w:r>
              <w:rPr>
                <w:b/>
                <w:bCs/>
                <w:sz w:val="22"/>
              </w:rPr>
              <w:t xml:space="preserve">д</w:t>
            </w:r>
            <w:r>
              <w:rPr>
                <w:b/>
                <w:bCs/>
                <w:sz w:val="22"/>
              </w:rPr>
              <w:t xml:space="preserve">олжность, номер телефона, адрес электронной почты)</w:t>
            </w:r>
            <w:r/>
          </w:p>
        </w:tc>
      </w:tr>
      <w:tr>
        <w:trPr>
          <w:gridAfter w:val="1"/>
          <w:trHeight w:val="578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5" w:type="dxa"/>
            <w:vAlign w:val="bottom"/>
            <w:textDirection w:val="lrTb"/>
            <w:noWrap/>
          </w:tcPr>
          <w:p>
            <w:pPr>
              <w:ind w:left="0" w:firstLine="0"/>
              <w:jc w:val="left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143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24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93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948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037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02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5" w:type="dxa"/>
            <w:vAlign w:val="bottom"/>
            <w:textDirection w:val="lrTb"/>
            <w:noWrap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2" w:type="dxa"/>
            <w:textDirection w:val="lrTb"/>
            <w:noWrap w:val="false"/>
          </w:tcPr>
          <w:p>
            <w:pPr>
              <w:ind w:left="0" w:firstLine="0"/>
              <w:jc w:val="center"/>
              <w:spacing w:after="0" w:line="240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</w:r>
            <w:bookmarkEnd w:id="0"/>
            <w:r/>
            <w:r/>
          </w:p>
        </w:tc>
      </w:tr>
    </w:tbl>
    <w:p>
      <w:pPr>
        <w:contextualSpacing/>
        <w:ind w:left="0" w:firstLine="709"/>
        <w:spacing w:after="0" w:line="276" w:lineRule="auto"/>
        <w:sectPr>
          <w:footnotePr/>
          <w:endnotePr/>
          <w:type w:val="nextPage"/>
          <w:pgSz w:w="16838" w:h="11906" w:orient="landscape"/>
          <w:pgMar w:top="1701" w:right="1134" w:bottom="851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contextualSpacing/>
        <w:ind w:left="0" w:firstLine="709"/>
        <w:spacing w:after="0" w:line="276" w:lineRule="auto"/>
      </w:pPr>
      <w:r>
        <w:t xml:space="preserve"> </w:t>
      </w:r>
      <w:r/>
    </w:p>
    <w:p>
      <w:pPr>
        <w:contextualSpacing/>
        <w:ind w:left="0" w:firstLine="709"/>
        <w:spacing w:after="0" w:line="276" w:lineRule="auto"/>
      </w:pPr>
      <w:r/>
      <w:r/>
    </w:p>
    <w:p>
      <w:pPr>
        <w:contextualSpacing/>
        <w:ind w:left="0" w:firstLine="709"/>
        <w:spacing w:after="0" w:line="276" w:lineRule="auto"/>
      </w:pPr>
      <w:r/>
      <w:r/>
    </w:p>
    <w:p>
      <w:pPr>
        <w:contextualSpacing/>
        <w:ind w:left="0" w:firstLine="709"/>
        <w:spacing w:after="0" w:line="276" w:lineRule="auto"/>
      </w:pPr>
      <w:r/>
      <w:r/>
    </w:p>
    <w:p>
      <w:pPr>
        <w:contextualSpacing/>
        <w:ind w:left="0" w:firstLine="709"/>
        <w:spacing w:after="0" w:line="276" w:lineRule="auto"/>
      </w:pPr>
      <w:r/>
      <w:r/>
    </w:p>
    <w:p>
      <w:pPr>
        <w:ind w:left="0" w:firstLine="7"/>
        <w:jc w:val="center"/>
        <w:rPr>
          <w:b/>
        </w:rPr>
      </w:pPr>
      <w:r>
        <w:rPr>
          <w:b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 w:default="1">
    <w:name w:val="Normal"/>
    <w:qFormat/>
    <w:pPr>
      <w:ind w:left="135" w:firstLine="530"/>
      <w:jc w:val="both"/>
      <w:spacing w:after="14" w:line="387" w:lineRule="auto"/>
    </w:pPr>
    <w:rPr>
      <w:rFonts w:ascii="Times New Roman" w:hAnsi="Times New Roman" w:eastAsia="Times New Roman" w:cs="Times New Roman"/>
      <w:color w:val="000000"/>
      <w:sz w:val="28"/>
      <w:lang w:eastAsia="ru-RU"/>
    </w:rPr>
  </w:style>
  <w:style w:type="paragraph" w:styleId="637">
    <w:name w:val="Heading 1"/>
    <w:basedOn w:val="636"/>
    <w:next w:val="636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8">
    <w:name w:val="Heading 2"/>
    <w:basedOn w:val="636"/>
    <w:next w:val="636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9">
    <w:name w:val="Heading 3"/>
    <w:basedOn w:val="636"/>
    <w:next w:val="636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0">
    <w:name w:val="Heading 4"/>
    <w:basedOn w:val="636"/>
    <w:next w:val="636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1">
    <w:name w:val="Heading 5"/>
    <w:basedOn w:val="636"/>
    <w:next w:val="6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2">
    <w:name w:val="Heading 6"/>
    <w:basedOn w:val="636"/>
    <w:next w:val="6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43">
    <w:name w:val="Heading 7"/>
    <w:basedOn w:val="636"/>
    <w:next w:val="636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44">
    <w:name w:val="Heading 8"/>
    <w:basedOn w:val="636"/>
    <w:next w:val="6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45">
    <w:name w:val="Heading 9"/>
    <w:basedOn w:val="636"/>
    <w:next w:val="63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 w:default="1">
    <w:name w:val="Default Paragraph Font"/>
    <w:uiPriority w:val="1"/>
    <w:semiHidden/>
    <w:unhideWhenUsed/>
  </w:style>
  <w:style w:type="table" w:styleId="6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8" w:default="1">
    <w:name w:val="No List"/>
    <w:uiPriority w:val="99"/>
    <w:semiHidden/>
    <w:unhideWhenUsed/>
  </w:style>
  <w:style w:type="character" w:styleId="649" w:customStyle="1">
    <w:name w:val="Heading 1 Char"/>
    <w:basedOn w:val="646"/>
    <w:uiPriority w:val="9"/>
    <w:rPr>
      <w:rFonts w:ascii="Arial" w:hAnsi="Arial" w:eastAsia="Arial" w:cs="Arial"/>
      <w:sz w:val="40"/>
      <w:szCs w:val="40"/>
    </w:rPr>
  </w:style>
  <w:style w:type="character" w:styleId="650" w:customStyle="1">
    <w:name w:val="Heading 2 Char"/>
    <w:basedOn w:val="646"/>
    <w:uiPriority w:val="9"/>
    <w:rPr>
      <w:rFonts w:ascii="Arial" w:hAnsi="Arial" w:eastAsia="Arial" w:cs="Arial"/>
      <w:sz w:val="34"/>
    </w:rPr>
  </w:style>
  <w:style w:type="character" w:styleId="651" w:customStyle="1">
    <w:name w:val="Heading 3 Char"/>
    <w:basedOn w:val="646"/>
    <w:uiPriority w:val="9"/>
    <w:rPr>
      <w:rFonts w:ascii="Arial" w:hAnsi="Arial" w:eastAsia="Arial" w:cs="Arial"/>
      <w:sz w:val="30"/>
      <w:szCs w:val="30"/>
    </w:rPr>
  </w:style>
  <w:style w:type="character" w:styleId="652" w:customStyle="1">
    <w:name w:val="Heading 4 Char"/>
    <w:basedOn w:val="646"/>
    <w:uiPriority w:val="9"/>
    <w:rPr>
      <w:rFonts w:ascii="Arial" w:hAnsi="Arial" w:eastAsia="Arial" w:cs="Arial"/>
      <w:b/>
      <w:bCs/>
      <w:sz w:val="26"/>
      <w:szCs w:val="26"/>
    </w:rPr>
  </w:style>
  <w:style w:type="character" w:styleId="653" w:customStyle="1">
    <w:name w:val="Heading 5 Char"/>
    <w:basedOn w:val="646"/>
    <w:uiPriority w:val="9"/>
    <w:rPr>
      <w:rFonts w:ascii="Arial" w:hAnsi="Arial" w:eastAsia="Arial" w:cs="Arial"/>
      <w:b/>
      <w:bCs/>
      <w:sz w:val="24"/>
      <w:szCs w:val="24"/>
    </w:rPr>
  </w:style>
  <w:style w:type="character" w:styleId="654" w:customStyle="1">
    <w:name w:val="Heading 6 Char"/>
    <w:basedOn w:val="646"/>
    <w:uiPriority w:val="9"/>
    <w:rPr>
      <w:rFonts w:ascii="Arial" w:hAnsi="Arial" w:eastAsia="Arial" w:cs="Arial"/>
      <w:b/>
      <w:bCs/>
      <w:sz w:val="22"/>
      <w:szCs w:val="22"/>
    </w:rPr>
  </w:style>
  <w:style w:type="character" w:styleId="655" w:customStyle="1">
    <w:name w:val="Heading 7 Char"/>
    <w:basedOn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6" w:customStyle="1">
    <w:name w:val="Heading 8 Char"/>
    <w:basedOn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7" w:customStyle="1">
    <w:name w:val="Heading 9 Char"/>
    <w:basedOn w:val="646"/>
    <w:uiPriority w:val="9"/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Title Char"/>
    <w:basedOn w:val="646"/>
    <w:uiPriority w:val="10"/>
    <w:rPr>
      <w:sz w:val="48"/>
      <w:szCs w:val="48"/>
    </w:rPr>
  </w:style>
  <w:style w:type="character" w:styleId="659" w:customStyle="1">
    <w:name w:val="Subtitle Char"/>
    <w:basedOn w:val="646"/>
    <w:uiPriority w:val="11"/>
    <w:rPr>
      <w:sz w:val="24"/>
      <w:szCs w:val="24"/>
    </w:rPr>
  </w:style>
  <w:style w:type="character" w:styleId="660" w:customStyle="1">
    <w:name w:val="Quote Char"/>
    <w:uiPriority w:val="29"/>
    <w:rPr>
      <w:i/>
    </w:rPr>
  </w:style>
  <w:style w:type="character" w:styleId="661" w:customStyle="1">
    <w:name w:val="Intense Quote Char"/>
    <w:uiPriority w:val="30"/>
    <w:rPr>
      <w:i/>
    </w:rPr>
  </w:style>
  <w:style w:type="character" w:styleId="662" w:customStyle="1">
    <w:name w:val="Header Char"/>
    <w:basedOn w:val="646"/>
    <w:uiPriority w:val="99"/>
  </w:style>
  <w:style w:type="character" w:styleId="663" w:customStyle="1">
    <w:name w:val="Caption Char"/>
    <w:uiPriority w:val="99"/>
  </w:style>
  <w:style w:type="character" w:styleId="664" w:customStyle="1">
    <w:name w:val="Footnote Text Char"/>
    <w:uiPriority w:val="99"/>
    <w:rPr>
      <w:sz w:val="18"/>
    </w:rPr>
  </w:style>
  <w:style w:type="character" w:styleId="665" w:customStyle="1">
    <w:name w:val="Endnote Text Char"/>
    <w:uiPriority w:val="99"/>
    <w:rPr>
      <w:sz w:val="20"/>
    </w:rPr>
  </w:style>
  <w:style w:type="character" w:styleId="666" w:customStyle="1">
    <w:name w:val="Заголовок 1 Знак"/>
    <w:basedOn w:val="646"/>
    <w:link w:val="637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46"/>
    <w:link w:val="638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46"/>
    <w:link w:val="639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46"/>
    <w:link w:val="640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46"/>
    <w:link w:val="641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46"/>
    <w:link w:val="642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46"/>
    <w:link w:val="6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46"/>
    <w:link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46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3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36"/>
    <w:next w:val="63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basedOn w:val="646"/>
    <w:link w:val="677"/>
    <w:uiPriority w:val="10"/>
    <w:rPr>
      <w:sz w:val="48"/>
      <w:szCs w:val="48"/>
    </w:rPr>
  </w:style>
  <w:style w:type="paragraph" w:styleId="679">
    <w:name w:val="Subtitle"/>
    <w:basedOn w:val="636"/>
    <w:next w:val="63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 w:customStyle="1">
    <w:name w:val="Подзаголовок Знак"/>
    <w:basedOn w:val="646"/>
    <w:link w:val="679"/>
    <w:uiPriority w:val="11"/>
    <w:rPr>
      <w:sz w:val="24"/>
      <w:szCs w:val="24"/>
    </w:rPr>
  </w:style>
  <w:style w:type="paragraph" w:styleId="681">
    <w:name w:val="Quote"/>
    <w:basedOn w:val="636"/>
    <w:next w:val="636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36"/>
    <w:next w:val="636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3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46"/>
    <w:link w:val="685"/>
    <w:uiPriority w:val="99"/>
  </w:style>
  <w:style w:type="paragraph" w:styleId="687">
    <w:name w:val="Footer"/>
    <w:basedOn w:val="636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basedOn w:val="646"/>
    <w:uiPriority w:val="99"/>
  </w:style>
  <w:style w:type="paragraph" w:styleId="689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basedOn w:val="64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2" w:customStyle="1">
    <w:name w:val="Table Grid Light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3">
    <w:name w:val="Plain Table 1"/>
    <w:basedOn w:val="64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4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21" w:customStyle="1">
    <w:name w:val="Grid Table 4 - Accent 2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2" w:customStyle="1">
    <w:name w:val="Grid Table 4 - Accent 3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3" w:customStyle="1">
    <w:name w:val="Grid Table 4 - Accent 4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4" w:customStyle="1">
    <w:name w:val="Grid Table 4 - Accent 5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25" w:customStyle="1">
    <w:name w:val="Grid Table 4 - Accent 6"/>
    <w:basedOn w:val="64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6">
    <w:name w:val="Grid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35" w:customStyle="1">
    <w:name w:val="Grid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6" w:customStyle="1">
    <w:name w:val="Grid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7" w:customStyle="1">
    <w:name w:val="Grid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8" w:customStyle="1">
    <w:name w:val="Grid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39" w:customStyle="1">
    <w:name w:val="Grid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40">
    <w:name w:val="Grid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>
    <w:name w:val="List Table 1 Light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4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84" w:customStyle="1">
    <w:name w:val="List Table 6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5" w:customStyle="1">
    <w:name w:val="List Table 6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6" w:customStyle="1">
    <w:name w:val="List Table 6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7" w:customStyle="1">
    <w:name w:val="List Table 6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88" w:customStyle="1">
    <w:name w:val="List Table 6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9">
    <w:name w:val="List Table 7 Colorful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8" w:customStyle="1">
    <w:name w:val="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9" w:customStyle="1">
    <w:name w:val="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0" w:customStyle="1">
    <w:name w:val="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1" w:customStyle="1">
    <w:name w:val="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2" w:customStyle="1">
    <w:name w:val="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3" w:customStyle="1">
    <w:name w:val="Bordered &amp; Lined - Accent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05" w:customStyle="1">
    <w:name w:val="Bordered &amp; Lined - Accent 2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6" w:customStyle="1">
    <w:name w:val="Bordered &amp; Lined - Accent 3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7" w:customStyle="1">
    <w:name w:val="Bordered &amp; Lined - Accent 4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8" w:customStyle="1">
    <w:name w:val="Bordered &amp; Lined - Accent 5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09" w:customStyle="1">
    <w:name w:val="Bordered &amp; Lined - Accent 6"/>
    <w:basedOn w:val="64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0" w:customStyle="1">
    <w:name w:val="Bordered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12" w:customStyle="1">
    <w:name w:val="Bordered - Accent 2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3" w:customStyle="1">
    <w:name w:val="Bordered - Accent 3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4" w:customStyle="1">
    <w:name w:val="Bordered - Accent 4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5" w:customStyle="1">
    <w:name w:val="Bordered - Accent 5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16" w:customStyle="1">
    <w:name w:val="Bordered - Accent 6"/>
    <w:basedOn w:val="64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563c1" w:themeColor="hyperlink"/>
      <w:u w:val="single"/>
    </w:rPr>
  </w:style>
  <w:style w:type="paragraph" w:styleId="818">
    <w:name w:val="footnote text"/>
    <w:basedOn w:val="636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46"/>
    <w:uiPriority w:val="99"/>
    <w:unhideWhenUsed/>
    <w:rPr>
      <w:vertAlign w:val="superscript"/>
    </w:rPr>
  </w:style>
  <w:style w:type="paragraph" w:styleId="821">
    <w:name w:val="endnote text"/>
    <w:basedOn w:val="636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46"/>
    <w:uiPriority w:val="99"/>
    <w:semiHidden/>
    <w:unhideWhenUsed/>
    <w:rPr>
      <w:vertAlign w:val="superscript"/>
    </w:rPr>
  </w:style>
  <w:style w:type="paragraph" w:styleId="824">
    <w:name w:val="toc 1"/>
    <w:basedOn w:val="636"/>
    <w:next w:val="636"/>
    <w:uiPriority w:val="39"/>
    <w:unhideWhenUsed/>
    <w:pPr>
      <w:ind w:left="0" w:firstLine="0"/>
      <w:spacing w:after="57"/>
    </w:pPr>
  </w:style>
  <w:style w:type="paragraph" w:styleId="825">
    <w:name w:val="toc 2"/>
    <w:basedOn w:val="636"/>
    <w:next w:val="636"/>
    <w:uiPriority w:val="39"/>
    <w:unhideWhenUsed/>
    <w:pPr>
      <w:ind w:left="283" w:firstLine="0"/>
      <w:spacing w:after="57"/>
    </w:pPr>
  </w:style>
  <w:style w:type="paragraph" w:styleId="826">
    <w:name w:val="toc 3"/>
    <w:basedOn w:val="636"/>
    <w:next w:val="636"/>
    <w:uiPriority w:val="39"/>
    <w:unhideWhenUsed/>
    <w:pPr>
      <w:ind w:left="567" w:firstLine="0"/>
      <w:spacing w:after="57"/>
    </w:pPr>
  </w:style>
  <w:style w:type="paragraph" w:styleId="827">
    <w:name w:val="toc 4"/>
    <w:basedOn w:val="636"/>
    <w:next w:val="636"/>
    <w:uiPriority w:val="39"/>
    <w:unhideWhenUsed/>
    <w:pPr>
      <w:ind w:left="850" w:firstLine="0"/>
      <w:spacing w:after="57"/>
    </w:pPr>
  </w:style>
  <w:style w:type="paragraph" w:styleId="828">
    <w:name w:val="toc 5"/>
    <w:basedOn w:val="636"/>
    <w:next w:val="636"/>
    <w:uiPriority w:val="39"/>
    <w:unhideWhenUsed/>
    <w:pPr>
      <w:ind w:left="1134" w:firstLine="0"/>
      <w:spacing w:after="57"/>
    </w:pPr>
  </w:style>
  <w:style w:type="paragraph" w:styleId="829">
    <w:name w:val="toc 6"/>
    <w:basedOn w:val="636"/>
    <w:next w:val="636"/>
    <w:uiPriority w:val="39"/>
    <w:unhideWhenUsed/>
    <w:pPr>
      <w:ind w:left="1417" w:firstLine="0"/>
      <w:spacing w:after="57"/>
    </w:pPr>
  </w:style>
  <w:style w:type="paragraph" w:styleId="830">
    <w:name w:val="toc 7"/>
    <w:basedOn w:val="636"/>
    <w:next w:val="636"/>
    <w:uiPriority w:val="39"/>
    <w:unhideWhenUsed/>
    <w:pPr>
      <w:ind w:left="1701" w:firstLine="0"/>
      <w:spacing w:after="57"/>
    </w:pPr>
  </w:style>
  <w:style w:type="paragraph" w:styleId="831">
    <w:name w:val="toc 8"/>
    <w:basedOn w:val="636"/>
    <w:next w:val="636"/>
    <w:uiPriority w:val="39"/>
    <w:unhideWhenUsed/>
    <w:pPr>
      <w:ind w:left="1984" w:firstLine="0"/>
      <w:spacing w:after="57"/>
    </w:pPr>
  </w:style>
  <w:style w:type="paragraph" w:styleId="832">
    <w:name w:val="toc 9"/>
    <w:basedOn w:val="636"/>
    <w:next w:val="636"/>
    <w:uiPriority w:val="39"/>
    <w:unhideWhenUsed/>
    <w:pPr>
      <w:ind w:left="2268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36"/>
    <w:next w:val="636"/>
    <w:uiPriority w:val="99"/>
    <w:unhideWhenUsed/>
    <w:pPr>
      <w:spacing w:after="0"/>
    </w:pPr>
  </w:style>
  <w:style w:type="paragraph" w:styleId="83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АУ Институт развития образования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Николаевич</dc:creator>
  <cp:keywords/>
  <dc:description/>
  <cp:revision>4</cp:revision>
  <dcterms:created xsi:type="dcterms:W3CDTF">2025-04-07T06:44:00Z</dcterms:created>
  <dcterms:modified xsi:type="dcterms:W3CDTF">2025-04-07T09:03:30Z</dcterms:modified>
</cp:coreProperties>
</file>